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B5" w:rsidRPr="0008395E" w:rsidRDefault="00F77BB5" w:rsidP="00F77BB5">
      <w:pPr>
        <w:ind w:left="4680"/>
        <w:jc w:val="right"/>
        <w:rPr>
          <w:szCs w:val="28"/>
        </w:rPr>
      </w:pPr>
      <w:r w:rsidRPr="0008395E">
        <w:rPr>
          <w:szCs w:val="28"/>
        </w:rPr>
        <w:t>УТВЕРЖДЕНА</w:t>
      </w:r>
    </w:p>
    <w:p w:rsidR="00F77BB5" w:rsidRPr="0008395E" w:rsidRDefault="00F77BB5" w:rsidP="00F77BB5">
      <w:pPr>
        <w:ind w:left="4680"/>
        <w:jc w:val="right"/>
        <w:rPr>
          <w:szCs w:val="28"/>
        </w:rPr>
      </w:pPr>
      <w:r w:rsidRPr="0008395E">
        <w:rPr>
          <w:szCs w:val="28"/>
        </w:rPr>
        <w:t>Приказом Председателя</w:t>
      </w:r>
    </w:p>
    <w:p w:rsidR="00F77BB5" w:rsidRPr="0008395E" w:rsidRDefault="00F77BB5" w:rsidP="00F77BB5">
      <w:pPr>
        <w:ind w:left="4680"/>
        <w:jc w:val="right"/>
        <w:rPr>
          <w:szCs w:val="28"/>
        </w:rPr>
      </w:pPr>
      <w:r w:rsidRPr="0008395E">
        <w:rPr>
          <w:szCs w:val="28"/>
        </w:rPr>
        <w:t>Комитета  фармации</w:t>
      </w:r>
    </w:p>
    <w:p w:rsidR="00F77BB5" w:rsidRPr="0008395E" w:rsidRDefault="00F77BB5" w:rsidP="00F77BB5">
      <w:pPr>
        <w:jc w:val="right"/>
        <w:rPr>
          <w:szCs w:val="28"/>
        </w:rPr>
      </w:pPr>
      <w:r w:rsidRPr="0008395E">
        <w:rPr>
          <w:szCs w:val="28"/>
        </w:rPr>
        <w:t>Министерства здравоохранения</w:t>
      </w:r>
      <w:r w:rsidRPr="0008395E">
        <w:rPr>
          <w:szCs w:val="28"/>
          <w:lang w:val="lv-LV"/>
        </w:rPr>
        <w:t xml:space="preserve"> </w:t>
      </w:r>
    </w:p>
    <w:p w:rsidR="00F77BB5" w:rsidRPr="0008395E" w:rsidRDefault="00F77BB5" w:rsidP="00F77BB5">
      <w:pPr>
        <w:ind w:left="4680"/>
        <w:jc w:val="right"/>
        <w:rPr>
          <w:szCs w:val="28"/>
        </w:rPr>
      </w:pPr>
      <w:r w:rsidRPr="0008395E">
        <w:rPr>
          <w:szCs w:val="28"/>
        </w:rPr>
        <w:t>Республики Казахстан</w:t>
      </w:r>
    </w:p>
    <w:p w:rsidR="00F77BB5" w:rsidRPr="0008395E" w:rsidRDefault="00F77BB5" w:rsidP="00F77BB5">
      <w:pPr>
        <w:ind w:left="4680"/>
        <w:jc w:val="right"/>
        <w:rPr>
          <w:bCs/>
          <w:szCs w:val="28"/>
        </w:rPr>
      </w:pPr>
      <w:r w:rsidRPr="0008395E">
        <w:rPr>
          <w:szCs w:val="28"/>
        </w:rPr>
        <w:t xml:space="preserve">от </w:t>
      </w:r>
      <w:r w:rsidRPr="0008395E">
        <w:rPr>
          <w:bCs/>
          <w:szCs w:val="28"/>
        </w:rPr>
        <w:t>«</w:t>
      </w:r>
      <w:r w:rsidRPr="0008395E">
        <w:rPr>
          <w:bCs/>
          <w:szCs w:val="28"/>
          <w:lang w:val="lv-LV"/>
        </w:rPr>
        <w:t>___</w:t>
      </w:r>
      <w:r w:rsidRPr="0008395E">
        <w:rPr>
          <w:bCs/>
          <w:szCs w:val="28"/>
        </w:rPr>
        <w:t>»</w:t>
      </w:r>
      <w:r w:rsidRPr="0008395E">
        <w:rPr>
          <w:bCs/>
          <w:szCs w:val="28"/>
          <w:lang w:val="lv-LV"/>
        </w:rPr>
        <w:t xml:space="preserve">___ </w:t>
      </w:r>
      <w:r w:rsidRPr="0008395E">
        <w:rPr>
          <w:bCs/>
          <w:szCs w:val="28"/>
        </w:rPr>
        <w:t>20</w:t>
      </w:r>
      <w:r w:rsidR="00172AB0" w:rsidRPr="0008395E">
        <w:rPr>
          <w:bCs/>
          <w:szCs w:val="28"/>
          <w:lang w:val="lv-LV"/>
        </w:rPr>
        <w:t>1</w:t>
      </w:r>
      <w:r w:rsidR="00172AB0" w:rsidRPr="0008395E">
        <w:rPr>
          <w:bCs/>
          <w:szCs w:val="28"/>
        </w:rPr>
        <w:t>_</w:t>
      </w:r>
      <w:r w:rsidRPr="0008395E">
        <w:rPr>
          <w:bCs/>
          <w:szCs w:val="28"/>
          <w:lang w:val="lv-LV"/>
        </w:rPr>
        <w:t> </w:t>
      </w:r>
      <w:r w:rsidRPr="0008395E">
        <w:rPr>
          <w:bCs/>
          <w:szCs w:val="28"/>
        </w:rPr>
        <w:t>г.</w:t>
      </w:r>
    </w:p>
    <w:p w:rsidR="00F77BB5" w:rsidRPr="0008395E" w:rsidRDefault="00F77BB5" w:rsidP="00F77BB5">
      <w:pPr>
        <w:ind w:left="4680"/>
        <w:jc w:val="right"/>
        <w:rPr>
          <w:b/>
          <w:szCs w:val="28"/>
        </w:rPr>
      </w:pPr>
      <w:r w:rsidRPr="0008395E">
        <w:rPr>
          <w:bCs/>
          <w:szCs w:val="28"/>
        </w:rPr>
        <w:t>№</w:t>
      </w:r>
      <w:r w:rsidRPr="0008395E">
        <w:rPr>
          <w:bCs/>
          <w:szCs w:val="28"/>
          <w:lang w:val="lv-LV"/>
        </w:rPr>
        <w:t>________</w:t>
      </w:r>
    </w:p>
    <w:p w:rsidR="00F77BB5" w:rsidRPr="0008395E" w:rsidRDefault="00F77BB5" w:rsidP="00F77BB5">
      <w:pPr>
        <w:autoSpaceDE w:val="0"/>
        <w:autoSpaceDN w:val="0"/>
        <w:jc w:val="center"/>
        <w:rPr>
          <w:b/>
          <w:bCs/>
          <w:szCs w:val="28"/>
          <w:lang w:val="lv-LV"/>
        </w:rPr>
      </w:pPr>
    </w:p>
    <w:p w:rsidR="00F77BB5" w:rsidRPr="0008395E" w:rsidRDefault="00F77BB5" w:rsidP="00F77BB5">
      <w:pPr>
        <w:autoSpaceDE w:val="0"/>
        <w:autoSpaceDN w:val="0"/>
        <w:jc w:val="center"/>
        <w:rPr>
          <w:b/>
          <w:bCs/>
          <w:szCs w:val="28"/>
        </w:rPr>
      </w:pPr>
      <w:r w:rsidRPr="0008395E">
        <w:rPr>
          <w:b/>
          <w:bCs/>
          <w:szCs w:val="28"/>
        </w:rPr>
        <w:t>Инструкция по медицинскому применению</w:t>
      </w:r>
    </w:p>
    <w:p w:rsidR="00F77BB5" w:rsidRPr="0008395E" w:rsidRDefault="00F77BB5" w:rsidP="00F77BB5">
      <w:pPr>
        <w:autoSpaceDE w:val="0"/>
        <w:autoSpaceDN w:val="0"/>
        <w:jc w:val="center"/>
        <w:rPr>
          <w:szCs w:val="28"/>
        </w:rPr>
      </w:pPr>
      <w:r w:rsidRPr="0008395E">
        <w:rPr>
          <w:b/>
          <w:bCs/>
          <w:szCs w:val="28"/>
        </w:rPr>
        <w:t>лекарственного средства</w:t>
      </w:r>
    </w:p>
    <w:p w:rsidR="00F77BB5" w:rsidRPr="0008395E" w:rsidRDefault="00F77BB5" w:rsidP="00F77BB5">
      <w:pPr>
        <w:jc w:val="center"/>
        <w:rPr>
          <w:b/>
          <w:szCs w:val="28"/>
        </w:rPr>
      </w:pPr>
    </w:p>
    <w:p w:rsidR="00F77BB5" w:rsidRPr="0008395E" w:rsidRDefault="00F77BB5" w:rsidP="00F77BB5">
      <w:pPr>
        <w:jc w:val="center"/>
        <w:rPr>
          <w:b/>
          <w:szCs w:val="28"/>
          <w:vertAlign w:val="superscript"/>
          <w:lang w:val="lv-LV"/>
        </w:rPr>
      </w:pPr>
      <w:r w:rsidRPr="0008395E">
        <w:rPr>
          <w:b/>
          <w:szCs w:val="28"/>
        </w:rPr>
        <w:t>ТИНГРЕКС</w:t>
      </w:r>
      <w:r w:rsidRPr="0008395E">
        <w:rPr>
          <w:b/>
          <w:szCs w:val="28"/>
          <w:vertAlign w:val="superscript"/>
        </w:rPr>
        <w:t>®</w:t>
      </w:r>
    </w:p>
    <w:p w:rsidR="00F77BB5" w:rsidRPr="0008395E" w:rsidRDefault="00F77BB5" w:rsidP="00F77BB5">
      <w:pPr>
        <w:jc w:val="center"/>
        <w:rPr>
          <w:b/>
          <w:color w:val="000000"/>
          <w:szCs w:val="28"/>
        </w:rPr>
      </w:pPr>
    </w:p>
    <w:p w:rsidR="00F77BB5" w:rsidRPr="0008395E" w:rsidRDefault="00F77BB5" w:rsidP="00F77BB5">
      <w:pPr>
        <w:jc w:val="both"/>
        <w:rPr>
          <w:b/>
          <w:color w:val="000000"/>
          <w:szCs w:val="28"/>
        </w:rPr>
      </w:pPr>
      <w:r w:rsidRPr="0008395E">
        <w:rPr>
          <w:b/>
          <w:color w:val="000000"/>
          <w:szCs w:val="28"/>
        </w:rPr>
        <w:t>Торговое название</w:t>
      </w:r>
    </w:p>
    <w:p w:rsidR="00F77BB5" w:rsidRPr="0008395E" w:rsidRDefault="00F77BB5" w:rsidP="00F77BB5">
      <w:pPr>
        <w:jc w:val="both"/>
        <w:rPr>
          <w:color w:val="000000"/>
          <w:szCs w:val="28"/>
        </w:rPr>
      </w:pPr>
      <w:r w:rsidRPr="0008395E">
        <w:rPr>
          <w:color w:val="000000"/>
          <w:szCs w:val="28"/>
        </w:rPr>
        <w:t>ТИНГРЕКС</w:t>
      </w:r>
      <w:r w:rsidRPr="0008395E">
        <w:rPr>
          <w:color w:val="000000"/>
          <w:szCs w:val="28"/>
          <w:vertAlign w:val="superscript"/>
        </w:rPr>
        <w:t>®</w:t>
      </w:r>
    </w:p>
    <w:p w:rsidR="00F77BB5" w:rsidRPr="0008395E" w:rsidRDefault="00F77BB5" w:rsidP="00F77BB5">
      <w:pPr>
        <w:jc w:val="both"/>
        <w:rPr>
          <w:b/>
          <w:color w:val="000000"/>
          <w:szCs w:val="28"/>
          <w:lang w:val="lv-LV"/>
        </w:rPr>
      </w:pPr>
    </w:p>
    <w:p w:rsidR="00F77BB5" w:rsidRPr="0008395E" w:rsidRDefault="00F77BB5" w:rsidP="00F77BB5">
      <w:pPr>
        <w:jc w:val="both"/>
        <w:rPr>
          <w:b/>
          <w:color w:val="000000"/>
          <w:szCs w:val="28"/>
        </w:rPr>
      </w:pPr>
      <w:r w:rsidRPr="0008395E">
        <w:rPr>
          <w:b/>
          <w:color w:val="000000"/>
          <w:szCs w:val="28"/>
        </w:rPr>
        <w:t>Международное непатентованное название</w:t>
      </w:r>
    </w:p>
    <w:p w:rsidR="00F77BB5" w:rsidRPr="0008395E" w:rsidRDefault="004E1B9D" w:rsidP="00F77BB5">
      <w:pPr>
        <w:jc w:val="both"/>
        <w:rPr>
          <w:szCs w:val="28"/>
          <w:lang w:val="lv-LV"/>
        </w:rPr>
      </w:pPr>
      <w:r w:rsidRPr="0008395E">
        <w:rPr>
          <w:szCs w:val="28"/>
        </w:rPr>
        <w:t>Мемантин</w:t>
      </w:r>
    </w:p>
    <w:p w:rsidR="00F77BB5" w:rsidRPr="0008395E" w:rsidRDefault="00F77BB5" w:rsidP="00F77BB5">
      <w:pPr>
        <w:jc w:val="both"/>
        <w:rPr>
          <w:color w:val="000000"/>
          <w:szCs w:val="28"/>
        </w:rPr>
      </w:pPr>
    </w:p>
    <w:p w:rsidR="00F77BB5" w:rsidRPr="0008395E" w:rsidRDefault="00F77BB5" w:rsidP="00F77BB5">
      <w:pPr>
        <w:jc w:val="both"/>
        <w:rPr>
          <w:b/>
          <w:color w:val="000000"/>
          <w:szCs w:val="28"/>
        </w:rPr>
      </w:pPr>
      <w:r w:rsidRPr="0008395E">
        <w:rPr>
          <w:b/>
          <w:color w:val="000000"/>
          <w:szCs w:val="28"/>
        </w:rPr>
        <w:t>Лекарственная форма</w:t>
      </w:r>
    </w:p>
    <w:p w:rsidR="00C454E2" w:rsidRPr="0008395E" w:rsidRDefault="00F77BB5" w:rsidP="00F77BB5">
      <w:pPr>
        <w:jc w:val="both"/>
        <w:rPr>
          <w:b/>
          <w:color w:val="000000"/>
          <w:szCs w:val="28"/>
          <w:lang w:val="lv-LV"/>
        </w:rPr>
      </w:pPr>
      <w:r w:rsidRPr="0008395E">
        <w:rPr>
          <w:color w:val="000000"/>
          <w:szCs w:val="28"/>
        </w:rPr>
        <w:t>Таблетки, покрытые пленочной оболочкой, 10 мг</w:t>
      </w:r>
      <w:r w:rsidR="00514E25" w:rsidRPr="0008395E">
        <w:rPr>
          <w:color w:val="000000"/>
          <w:szCs w:val="28"/>
          <w:lang w:val="lv-LV"/>
        </w:rPr>
        <w:t>.</w:t>
      </w:r>
    </w:p>
    <w:p w:rsidR="00514E25" w:rsidRPr="0008395E" w:rsidRDefault="00514E25" w:rsidP="00F77BB5">
      <w:pPr>
        <w:jc w:val="both"/>
        <w:rPr>
          <w:b/>
          <w:color w:val="000000"/>
          <w:szCs w:val="28"/>
          <w:lang w:val="lv-LV"/>
        </w:rPr>
      </w:pPr>
    </w:p>
    <w:p w:rsidR="00F77BB5" w:rsidRPr="0008395E" w:rsidRDefault="00F77BB5" w:rsidP="00F77BB5">
      <w:pPr>
        <w:jc w:val="both"/>
        <w:rPr>
          <w:b/>
          <w:color w:val="000000"/>
          <w:szCs w:val="28"/>
        </w:rPr>
      </w:pPr>
      <w:r w:rsidRPr="0008395E">
        <w:rPr>
          <w:b/>
          <w:color w:val="000000"/>
          <w:szCs w:val="28"/>
        </w:rPr>
        <w:t>Состав</w:t>
      </w:r>
    </w:p>
    <w:p w:rsidR="00F77BB5" w:rsidRPr="0008395E" w:rsidRDefault="00F77BB5" w:rsidP="00F77BB5">
      <w:pPr>
        <w:jc w:val="both"/>
        <w:rPr>
          <w:color w:val="000000"/>
          <w:szCs w:val="28"/>
        </w:rPr>
      </w:pPr>
      <w:r w:rsidRPr="0008395E">
        <w:rPr>
          <w:color w:val="000000"/>
          <w:szCs w:val="28"/>
        </w:rPr>
        <w:t>Одна таблетка содержит</w:t>
      </w:r>
    </w:p>
    <w:p w:rsidR="00F77BB5" w:rsidRPr="0008395E" w:rsidRDefault="00F77BB5" w:rsidP="00F77BB5">
      <w:pPr>
        <w:jc w:val="both"/>
        <w:rPr>
          <w:color w:val="000000"/>
          <w:szCs w:val="28"/>
        </w:rPr>
      </w:pPr>
      <w:r w:rsidRPr="0008395E">
        <w:rPr>
          <w:i/>
          <w:color w:val="000000"/>
          <w:szCs w:val="28"/>
        </w:rPr>
        <w:t>активное вещество</w:t>
      </w:r>
      <w:r w:rsidRPr="0008395E">
        <w:rPr>
          <w:color w:val="000000"/>
          <w:szCs w:val="28"/>
        </w:rPr>
        <w:t xml:space="preserve"> – 10 мг мемантина гидрохлорида;</w:t>
      </w:r>
    </w:p>
    <w:p w:rsidR="00F77BB5" w:rsidRPr="0008395E" w:rsidRDefault="00F77BB5" w:rsidP="00F77BB5">
      <w:pPr>
        <w:jc w:val="both"/>
        <w:rPr>
          <w:szCs w:val="28"/>
        </w:rPr>
      </w:pPr>
      <w:r w:rsidRPr="0008395E">
        <w:rPr>
          <w:i/>
          <w:color w:val="000000"/>
          <w:spacing w:val="-2"/>
          <w:szCs w:val="28"/>
        </w:rPr>
        <w:t>вспомогательные вещества</w:t>
      </w:r>
      <w:r w:rsidRPr="0008395E">
        <w:rPr>
          <w:color w:val="000000"/>
          <w:spacing w:val="-2"/>
          <w:szCs w:val="28"/>
        </w:rPr>
        <w:t xml:space="preserve">: </w:t>
      </w:r>
      <w:r w:rsidRPr="0008395E">
        <w:rPr>
          <w:szCs w:val="28"/>
        </w:rPr>
        <w:t>лактозы моногидрат, целлюлоза микрокристаллическая, тальк, кремния диоксид коллоидный, безводный, магния стеарат;</w:t>
      </w:r>
    </w:p>
    <w:p w:rsidR="00F77BB5" w:rsidRPr="0008395E" w:rsidRDefault="00F77BB5" w:rsidP="00F77BB5">
      <w:pPr>
        <w:jc w:val="both"/>
        <w:rPr>
          <w:i/>
          <w:color w:val="000000"/>
          <w:szCs w:val="28"/>
          <w:lang w:val="lv-LV"/>
        </w:rPr>
      </w:pPr>
      <w:r w:rsidRPr="0008395E">
        <w:rPr>
          <w:i/>
          <w:szCs w:val="28"/>
        </w:rPr>
        <w:t>оболочка</w:t>
      </w:r>
      <w:r w:rsidRPr="0008395E">
        <w:rPr>
          <w:szCs w:val="28"/>
        </w:rPr>
        <w:t xml:space="preserve">: 33G28707 Опадрай </w:t>
      </w:r>
      <w:r w:rsidRPr="0008395E">
        <w:rPr>
          <w:szCs w:val="28"/>
          <w:lang w:val="lv-LV"/>
        </w:rPr>
        <w:t>II белый</w:t>
      </w:r>
      <w:r w:rsidRPr="0008395E">
        <w:rPr>
          <w:szCs w:val="28"/>
        </w:rPr>
        <w:t xml:space="preserve"> (</w:t>
      </w:r>
      <w:proofErr w:type="spellStart"/>
      <w:r w:rsidRPr="0008395E">
        <w:rPr>
          <w:szCs w:val="28"/>
        </w:rPr>
        <w:t>гипромеллоза</w:t>
      </w:r>
      <w:proofErr w:type="spellEnd"/>
      <w:r w:rsidRPr="0008395E">
        <w:rPr>
          <w:szCs w:val="28"/>
        </w:rPr>
        <w:t xml:space="preserve"> (Е 464), лактозы моногидрат, </w:t>
      </w:r>
      <w:proofErr w:type="spellStart"/>
      <w:r w:rsidRPr="0008395E">
        <w:rPr>
          <w:szCs w:val="28"/>
        </w:rPr>
        <w:t>макрогол</w:t>
      </w:r>
      <w:proofErr w:type="spellEnd"/>
      <w:r w:rsidRPr="0008395E">
        <w:rPr>
          <w:szCs w:val="28"/>
          <w:lang w:val="lv-LV"/>
        </w:rPr>
        <w:t> </w:t>
      </w:r>
      <w:r w:rsidRPr="0008395E">
        <w:rPr>
          <w:szCs w:val="28"/>
        </w:rPr>
        <w:t xml:space="preserve">3000, титана диоксид (Е 171), </w:t>
      </w:r>
      <w:proofErr w:type="spellStart"/>
      <w:r w:rsidRPr="0008395E">
        <w:rPr>
          <w:szCs w:val="28"/>
        </w:rPr>
        <w:t>триацетин</w:t>
      </w:r>
      <w:proofErr w:type="spellEnd"/>
      <w:r w:rsidRPr="0008395E">
        <w:rPr>
          <w:szCs w:val="28"/>
        </w:rPr>
        <w:t xml:space="preserve">), воск </w:t>
      </w:r>
      <w:proofErr w:type="spellStart"/>
      <w:r w:rsidRPr="0008395E">
        <w:rPr>
          <w:szCs w:val="28"/>
        </w:rPr>
        <w:t>карнаубский</w:t>
      </w:r>
      <w:proofErr w:type="spellEnd"/>
      <w:r w:rsidRPr="0008395E">
        <w:rPr>
          <w:szCs w:val="28"/>
        </w:rPr>
        <w:t>.</w:t>
      </w:r>
    </w:p>
    <w:p w:rsidR="00F77BB5" w:rsidRPr="0008395E" w:rsidRDefault="00F77BB5" w:rsidP="00F77BB5">
      <w:pPr>
        <w:jc w:val="both"/>
        <w:rPr>
          <w:color w:val="000000"/>
          <w:szCs w:val="28"/>
        </w:rPr>
      </w:pPr>
    </w:p>
    <w:p w:rsidR="00F77BB5" w:rsidRPr="0008395E" w:rsidRDefault="00F77BB5" w:rsidP="00F77BB5">
      <w:pPr>
        <w:jc w:val="both"/>
        <w:rPr>
          <w:b/>
          <w:color w:val="000000"/>
          <w:szCs w:val="28"/>
        </w:rPr>
      </w:pPr>
      <w:r w:rsidRPr="0008395E">
        <w:rPr>
          <w:b/>
          <w:color w:val="000000"/>
          <w:szCs w:val="28"/>
        </w:rPr>
        <w:t>Описание</w:t>
      </w:r>
    </w:p>
    <w:p w:rsidR="00E9217B" w:rsidRPr="0008395E" w:rsidRDefault="00F77BB5" w:rsidP="00E9217B">
      <w:pPr>
        <w:jc w:val="both"/>
        <w:rPr>
          <w:color w:val="000000"/>
          <w:szCs w:val="28"/>
          <w:lang w:val="lv-LV"/>
        </w:rPr>
      </w:pPr>
      <w:r w:rsidRPr="0008395E">
        <w:rPr>
          <w:color w:val="000000"/>
          <w:szCs w:val="28"/>
        </w:rPr>
        <w:t>Таблетки, покрытые пленочной оболочкой белого или почти белого цвета, двояковыпуклые, продолговатые, с закругленными концами, суженные посередине, с риской с каждой стороны</w:t>
      </w:r>
      <w:r w:rsidRPr="0008395E">
        <w:rPr>
          <w:color w:val="000000"/>
          <w:spacing w:val="-2"/>
          <w:szCs w:val="28"/>
        </w:rPr>
        <w:t>.</w:t>
      </w:r>
    </w:p>
    <w:p w:rsidR="00F77BB5" w:rsidRPr="0008395E" w:rsidRDefault="00F77BB5" w:rsidP="00F77BB5">
      <w:pPr>
        <w:jc w:val="both"/>
        <w:rPr>
          <w:b/>
          <w:color w:val="000000"/>
          <w:szCs w:val="28"/>
        </w:rPr>
      </w:pPr>
    </w:p>
    <w:p w:rsidR="00F77BB5" w:rsidRPr="0008395E" w:rsidRDefault="00F77BB5" w:rsidP="00F77BB5">
      <w:pPr>
        <w:jc w:val="both"/>
        <w:rPr>
          <w:color w:val="000000"/>
          <w:spacing w:val="-2"/>
          <w:szCs w:val="28"/>
        </w:rPr>
      </w:pPr>
      <w:r w:rsidRPr="0008395E">
        <w:rPr>
          <w:b/>
          <w:color w:val="000000"/>
          <w:szCs w:val="28"/>
        </w:rPr>
        <w:t>Фармакотерапевтическая группа</w:t>
      </w:r>
    </w:p>
    <w:p w:rsidR="00CF580F" w:rsidRPr="0008395E" w:rsidRDefault="00245E7C" w:rsidP="00CF580F">
      <w:pPr>
        <w:jc w:val="both"/>
        <w:rPr>
          <w:szCs w:val="28"/>
        </w:rPr>
      </w:pPr>
      <w:r>
        <w:rPr>
          <w:szCs w:val="28"/>
        </w:rPr>
        <w:t>Нервная  система</w:t>
      </w:r>
      <w:r w:rsidR="00CF580F" w:rsidRPr="0008395E">
        <w:rPr>
          <w:szCs w:val="28"/>
        </w:rPr>
        <w:t>. Психоаналептики. Препараты для лечения деменции</w:t>
      </w:r>
      <w:r w:rsidR="00CF580F" w:rsidRPr="0008395E">
        <w:rPr>
          <w:szCs w:val="28"/>
          <w:lang w:val="lv-LV"/>
        </w:rPr>
        <w:t xml:space="preserve">. </w:t>
      </w:r>
      <w:r w:rsidR="00CF580F" w:rsidRPr="0008395E">
        <w:rPr>
          <w:szCs w:val="28"/>
        </w:rPr>
        <w:t>Другие препараты для лечения деменции.</w:t>
      </w:r>
      <w:r w:rsidR="00D00949" w:rsidRPr="0008395E">
        <w:rPr>
          <w:szCs w:val="28"/>
          <w:lang w:val="lv-LV"/>
        </w:rPr>
        <w:t xml:space="preserve"> </w:t>
      </w:r>
      <w:proofErr w:type="spellStart"/>
      <w:r w:rsidR="00CF580F" w:rsidRPr="0008395E">
        <w:rPr>
          <w:szCs w:val="28"/>
        </w:rPr>
        <w:t>Мемантин</w:t>
      </w:r>
      <w:proofErr w:type="spellEnd"/>
    </w:p>
    <w:p w:rsidR="00EF048C" w:rsidRPr="0008395E" w:rsidRDefault="00D00949" w:rsidP="00F77BB5">
      <w:pPr>
        <w:jc w:val="both"/>
        <w:rPr>
          <w:b/>
          <w:color w:val="000000"/>
          <w:szCs w:val="28"/>
          <w:lang w:val="lv-LV"/>
        </w:rPr>
      </w:pPr>
      <w:r w:rsidRPr="0008395E">
        <w:rPr>
          <w:szCs w:val="28"/>
        </w:rPr>
        <w:t>Код АТХ</w:t>
      </w:r>
      <w:r w:rsidR="00CF580F" w:rsidRPr="0008395E">
        <w:rPr>
          <w:szCs w:val="28"/>
        </w:rPr>
        <w:t xml:space="preserve"> </w:t>
      </w:r>
      <w:r w:rsidR="00CF580F" w:rsidRPr="0008395E">
        <w:rPr>
          <w:szCs w:val="28"/>
          <w:lang w:val="lv-LV"/>
        </w:rPr>
        <w:t>N</w:t>
      </w:r>
      <w:r w:rsidR="00CF580F" w:rsidRPr="0008395E">
        <w:rPr>
          <w:color w:val="000000"/>
          <w:szCs w:val="28"/>
        </w:rPr>
        <w:t>0</w:t>
      </w:r>
      <w:r w:rsidR="00CF580F" w:rsidRPr="0008395E">
        <w:rPr>
          <w:color w:val="000000"/>
          <w:szCs w:val="28"/>
          <w:lang w:val="lv-LV"/>
        </w:rPr>
        <w:t>6DX01</w:t>
      </w:r>
    </w:p>
    <w:p w:rsidR="006D5C69" w:rsidRPr="0008395E" w:rsidRDefault="006D5C69" w:rsidP="00F77BB5">
      <w:pPr>
        <w:jc w:val="both"/>
        <w:rPr>
          <w:b/>
          <w:color w:val="000000"/>
          <w:szCs w:val="28"/>
          <w:lang w:val="lv-LV"/>
        </w:rPr>
      </w:pPr>
    </w:p>
    <w:p w:rsidR="00FB2D90" w:rsidRDefault="00FB2D90">
      <w:pPr>
        <w:widowControl/>
        <w:spacing w:after="200" w:line="276" w:lineRule="auto"/>
        <w:rPr>
          <w:b/>
          <w:color w:val="000000"/>
          <w:szCs w:val="28"/>
        </w:rPr>
      </w:pPr>
      <w:r>
        <w:rPr>
          <w:b/>
          <w:color w:val="000000"/>
          <w:szCs w:val="28"/>
        </w:rPr>
        <w:br w:type="page"/>
      </w:r>
    </w:p>
    <w:p w:rsidR="00F77BB5" w:rsidRPr="0008395E" w:rsidRDefault="00F77BB5" w:rsidP="00F77BB5">
      <w:pPr>
        <w:jc w:val="both"/>
        <w:rPr>
          <w:b/>
          <w:color w:val="000000"/>
          <w:szCs w:val="28"/>
        </w:rPr>
      </w:pPr>
      <w:r w:rsidRPr="0008395E">
        <w:rPr>
          <w:b/>
          <w:color w:val="000000"/>
          <w:szCs w:val="28"/>
        </w:rPr>
        <w:lastRenderedPageBreak/>
        <w:t>Фармакологические свойства</w:t>
      </w:r>
    </w:p>
    <w:p w:rsidR="00F77BB5" w:rsidRPr="0008395E" w:rsidRDefault="00F77BB5" w:rsidP="00F77BB5">
      <w:pPr>
        <w:jc w:val="both"/>
        <w:rPr>
          <w:b/>
          <w:i/>
          <w:color w:val="000000"/>
          <w:szCs w:val="28"/>
        </w:rPr>
      </w:pPr>
      <w:r w:rsidRPr="0008395E">
        <w:rPr>
          <w:b/>
          <w:i/>
          <w:color w:val="000000"/>
          <w:szCs w:val="28"/>
        </w:rPr>
        <w:t>Фармакокинетика</w:t>
      </w:r>
    </w:p>
    <w:p w:rsidR="00E96D7E" w:rsidRPr="0008395E" w:rsidRDefault="00E96D7E" w:rsidP="00E96D7E">
      <w:pPr>
        <w:widowControl/>
        <w:jc w:val="both"/>
        <w:rPr>
          <w:i/>
          <w:color w:val="000000"/>
          <w:szCs w:val="28"/>
          <w:lang w:eastAsia="en-US"/>
        </w:rPr>
      </w:pPr>
      <w:r w:rsidRPr="0008395E">
        <w:rPr>
          <w:i/>
          <w:color w:val="000000"/>
          <w:szCs w:val="28"/>
          <w:lang w:eastAsia="en-US"/>
        </w:rPr>
        <w:t>Всасывание</w:t>
      </w:r>
    </w:p>
    <w:p w:rsidR="00CD1E8D" w:rsidRPr="0008395E" w:rsidRDefault="00CD1E8D" w:rsidP="00CD1E8D">
      <w:pPr>
        <w:jc w:val="both"/>
        <w:rPr>
          <w:szCs w:val="28"/>
        </w:rPr>
      </w:pPr>
      <w:r w:rsidRPr="0008395E">
        <w:rPr>
          <w:szCs w:val="28"/>
        </w:rPr>
        <w:t>Биодоступность мемантина составляет примерно 100 %, время достижения пика концентрации в плазме крови (T</w:t>
      </w:r>
      <w:r w:rsidRPr="0008395E">
        <w:rPr>
          <w:szCs w:val="28"/>
          <w:vertAlign w:val="subscript"/>
        </w:rPr>
        <w:t>max</w:t>
      </w:r>
      <w:r w:rsidRPr="0008395E">
        <w:rPr>
          <w:szCs w:val="28"/>
        </w:rPr>
        <w:t>) – от 3 до 8 часов. Признаков влияния приема пищи на всасывание нет.</w:t>
      </w:r>
    </w:p>
    <w:p w:rsidR="00CD1E8D" w:rsidRPr="0008395E" w:rsidRDefault="00CD1E8D" w:rsidP="00CD1E8D">
      <w:pPr>
        <w:jc w:val="both"/>
        <w:rPr>
          <w:i/>
          <w:szCs w:val="28"/>
        </w:rPr>
      </w:pPr>
      <w:r w:rsidRPr="0008395E">
        <w:rPr>
          <w:i/>
          <w:szCs w:val="28"/>
        </w:rPr>
        <w:t>Распределение</w:t>
      </w:r>
    </w:p>
    <w:p w:rsidR="00CD1E8D" w:rsidRPr="0008395E" w:rsidRDefault="00CD1E8D" w:rsidP="00CD1E8D">
      <w:pPr>
        <w:jc w:val="both"/>
        <w:rPr>
          <w:szCs w:val="28"/>
        </w:rPr>
      </w:pPr>
      <w:r w:rsidRPr="0008395E">
        <w:rPr>
          <w:szCs w:val="28"/>
        </w:rPr>
        <w:t>Суточная доза 20 мг вызывает стабильную концентрацию мемантина в плазме крови в пределах от 70 до 150 нг/мл (0,5-1 мкмоль) со значительными индивидуальными вариациями. При применении суточных доз от 5 до 30 мг отношение содержания препарата в цереброспинальной жидкости и сыворотке крови составляет 0,52. Примерно 45% мемантина связывается с белками плазмы крови.</w:t>
      </w:r>
    </w:p>
    <w:p w:rsidR="00CD1E8D" w:rsidRPr="0008395E" w:rsidRDefault="00CD1E8D" w:rsidP="00CD1E8D">
      <w:pPr>
        <w:jc w:val="both"/>
        <w:rPr>
          <w:i/>
          <w:szCs w:val="28"/>
        </w:rPr>
      </w:pPr>
      <w:r w:rsidRPr="0008395E">
        <w:rPr>
          <w:i/>
          <w:szCs w:val="28"/>
        </w:rPr>
        <w:t>Метаболизм</w:t>
      </w:r>
    </w:p>
    <w:p w:rsidR="00CD1E8D" w:rsidRPr="0008395E" w:rsidRDefault="00CD1E8D" w:rsidP="00CD1E8D">
      <w:pPr>
        <w:jc w:val="both"/>
        <w:rPr>
          <w:szCs w:val="28"/>
        </w:rPr>
      </w:pPr>
      <w:r w:rsidRPr="0008395E">
        <w:rPr>
          <w:szCs w:val="28"/>
        </w:rPr>
        <w:t xml:space="preserve">В организме человека около 80% мемантина циркулирует в виде исходного вещества, основные метаболиты не имеют NMDA-антагонистических свойств. Участия цитохрома Р450 в метаболизме </w:t>
      </w:r>
      <w:r w:rsidRPr="0008395E">
        <w:rPr>
          <w:i/>
          <w:szCs w:val="28"/>
        </w:rPr>
        <w:t>in vitro</w:t>
      </w:r>
      <w:r w:rsidRPr="0008395E">
        <w:rPr>
          <w:szCs w:val="28"/>
        </w:rPr>
        <w:t xml:space="preserve"> не выявлено.</w:t>
      </w:r>
    </w:p>
    <w:p w:rsidR="00013C59" w:rsidRPr="0008395E" w:rsidRDefault="00013C59" w:rsidP="00D012DD">
      <w:pPr>
        <w:widowControl/>
        <w:jc w:val="both"/>
        <w:rPr>
          <w:color w:val="000000"/>
          <w:szCs w:val="28"/>
          <w:lang w:eastAsia="en-US"/>
        </w:rPr>
      </w:pPr>
      <w:r w:rsidRPr="0008395E">
        <w:rPr>
          <w:color w:val="000000"/>
          <w:szCs w:val="28"/>
          <w:lang w:eastAsia="en-US"/>
        </w:rPr>
        <w:t xml:space="preserve">В исследовании перорально </w:t>
      </w:r>
      <w:proofErr w:type="gramStart"/>
      <w:r w:rsidRPr="0008395E">
        <w:rPr>
          <w:color w:val="000000"/>
          <w:szCs w:val="28"/>
          <w:lang w:eastAsia="en-US"/>
        </w:rPr>
        <w:t>введенного</w:t>
      </w:r>
      <w:proofErr w:type="gramEnd"/>
      <w:r w:rsidRPr="0008395E">
        <w:rPr>
          <w:color w:val="000000"/>
          <w:szCs w:val="28"/>
          <w:lang w:eastAsia="en-US"/>
        </w:rPr>
        <w:t xml:space="preserve"> 14С-мемантина в среднем 84 % дозы выводится в течение 20 дней, более 99 % - через почки.</w:t>
      </w:r>
    </w:p>
    <w:p w:rsidR="00CD1E8D" w:rsidRPr="0008395E" w:rsidRDefault="00CD1E8D" w:rsidP="00CD1E8D">
      <w:pPr>
        <w:jc w:val="both"/>
        <w:rPr>
          <w:i/>
          <w:szCs w:val="28"/>
        </w:rPr>
      </w:pPr>
      <w:r w:rsidRPr="0008395E">
        <w:rPr>
          <w:i/>
          <w:szCs w:val="28"/>
        </w:rPr>
        <w:t>Выведение</w:t>
      </w:r>
    </w:p>
    <w:p w:rsidR="00CD1E8D" w:rsidRPr="0008395E" w:rsidRDefault="00CD1E8D" w:rsidP="00CD1E8D">
      <w:pPr>
        <w:jc w:val="both"/>
        <w:rPr>
          <w:i/>
          <w:szCs w:val="28"/>
        </w:rPr>
      </w:pPr>
      <w:r w:rsidRPr="0008395E">
        <w:rPr>
          <w:szCs w:val="28"/>
        </w:rPr>
        <w:t>Мемантин выводится моноэкспоненциальным образом с промежутком Т</w:t>
      </w:r>
      <w:proofErr w:type="gramStart"/>
      <w:r w:rsidRPr="0008395E">
        <w:rPr>
          <w:szCs w:val="28"/>
          <w:vertAlign w:val="subscript"/>
        </w:rPr>
        <w:t>1</w:t>
      </w:r>
      <w:proofErr w:type="gramEnd"/>
      <w:r w:rsidRPr="0008395E">
        <w:rPr>
          <w:szCs w:val="28"/>
          <w:vertAlign w:val="subscript"/>
        </w:rPr>
        <w:t xml:space="preserve">/2 </w:t>
      </w:r>
      <w:r w:rsidRPr="0008395E">
        <w:rPr>
          <w:szCs w:val="28"/>
        </w:rPr>
        <w:t>от 60 до 100 часов. У добровольцев с нормальной функцией почек общий клиренс (Cl</w:t>
      </w:r>
      <w:r w:rsidRPr="0008395E">
        <w:rPr>
          <w:szCs w:val="28"/>
          <w:vertAlign w:val="subscript"/>
        </w:rPr>
        <w:t>tot</w:t>
      </w:r>
      <w:r w:rsidRPr="0008395E">
        <w:rPr>
          <w:szCs w:val="28"/>
        </w:rPr>
        <w:t>) составляет 170 мл/мин/1,73 м</w:t>
      </w:r>
      <w:proofErr w:type="gramStart"/>
      <w:r w:rsidRPr="0008395E">
        <w:rPr>
          <w:szCs w:val="28"/>
          <w:vertAlign w:val="superscript"/>
        </w:rPr>
        <w:t>2</w:t>
      </w:r>
      <w:proofErr w:type="gramEnd"/>
      <w:r w:rsidRPr="0008395E">
        <w:rPr>
          <w:szCs w:val="28"/>
        </w:rPr>
        <w:t>. Почечная стадия фармакокинетики мемантина включает также канальцевую реабсорбцию.</w:t>
      </w:r>
    </w:p>
    <w:p w:rsidR="00CD1E8D" w:rsidRPr="0008395E" w:rsidRDefault="00CD1E8D" w:rsidP="00CD1E8D">
      <w:pPr>
        <w:jc w:val="both"/>
        <w:rPr>
          <w:szCs w:val="28"/>
        </w:rPr>
      </w:pPr>
      <w:r w:rsidRPr="0008395E">
        <w:rPr>
          <w:szCs w:val="28"/>
        </w:rPr>
        <w:t>Скорость почечной элиминации мемантина в условиях щелочной реакции мочи может снижаться в 7-9 раз. Ощелачивание мочи может происходить в результате значительных изменений диеты, например</w:t>
      </w:r>
      <w:r w:rsidR="00F13248" w:rsidRPr="0008395E">
        <w:rPr>
          <w:szCs w:val="28"/>
          <w:lang w:val="lv-LV"/>
        </w:rPr>
        <w:t>,</w:t>
      </w:r>
      <w:r w:rsidRPr="0008395E">
        <w:rPr>
          <w:szCs w:val="28"/>
        </w:rPr>
        <w:t xml:space="preserve"> замена богатого мясными блюдами рациона </w:t>
      </w:r>
      <w:proofErr w:type="gramStart"/>
      <w:r w:rsidRPr="0008395E">
        <w:rPr>
          <w:szCs w:val="28"/>
        </w:rPr>
        <w:t>вегетарианским</w:t>
      </w:r>
      <w:proofErr w:type="gramEnd"/>
      <w:r w:rsidRPr="0008395E">
        <w:rPr>
          <w:szCs w:val="28"/>
        </w:rPr>
        <w:t xml:space="preserve"> или вследствие интенсивного приема антацидных желудочных средств.</w:t>
      </w:r>
    </w:p>
    <w:p w:rsidR="00CD1E8D" w:rsidRPr="0008395E" w:rsidRDefault="00CD1E8D" w:rsidP="00CD1E8D">
      <w:pPr>
        <w:jc w:val="both"/>
        <w:rPr>
          <w:i/>
          <w:szCs w:val="28"/>
        </w:rPr>
      </w:pPr>
      <w:r w:rsidRPr="0008395E">
        <w:rPr>
          <w:i/>
          <w:szCs w:val="28"/>
        </w:rPr>
        <w:t>Линейность</w:t>
      </w:r>
    </w:p>
    <w:p w:rsidR="00CD1E8D" w:rsidRPr="0008395E" w:rsidRDefault="00CD1E8D" w:rsidP="00CD1E8D">
      <w:pPr>
        <w:jc w:val="both"/>
        <w:rPr>
          <w:i/>
          <w:szCs w:val="28"/>
        </w:rPr>
      </w:pPr>
      <w:r w:rsidRPr="0008395E">
        <w:rPr>
          <w:szCs w:val="28"/>
        </w:rPr>
        <w:t>Фармакокинетика имеет линейный характер в диапазоне доз 10-40 мг.</w:t>
      </w:r>
    </w:p>
    <w:p w:rsidR="00CD1E8D" w:rsidRPr="0008395E" w:rsidRDefault="00CD1E8D" w:rsidP="00CD1E8D">
      <w:pPr>
        <w:jc w:val="both"/>
        <w:rPr>
          <w:i/>
          <w:szCs w:val="28"/>
        </w:rPr>
      </w:pPr>
      <w:r w:rsidRPr="0008395E">
        <w:rPr>
          <w:i/>
          <w:szCs w:val="28"/>
        </w:rPr>
        <w:t>Фармакодинамическая/фармакокинетическая связь</w:t>
      </w:r>
    </w:p>
    <w:p w:rsidR="00CD1E8D" w:rsidRPr="0008395E" w:rsidRDefault="00CD1E8D" w:rsidP="00CD1E8D">
      <w:pPr>
        <w:jc w:val="both"/>
        <w:rPr>
          <w:szCs w:val="28"/>
        </w:rPr>
      </w:pPr>
      <w:r w:rsidRPr="0008395E">
        <w:rPr>
          <w:szCs w:val="28"/>
        </w:rPr>
        <w:t>При дозе мемантина 20 мг уровень содержания в цереброспинальной жидкости соответствует величине ki (константа торможения) мемантина, что составляет 0,5 мкмоль в области фронтальной коры головного мозга человека.</w:t>
      </w:r>
    </w:p>
    <w:p w:rsidR="00001D83" w:rsidRPr="0008395E" w:rsidRDefault="00001D83" w:rsidP="00001D83">
      <w:pPr>
        <w:rPr>
          <w:b/>
          <w:i/>
          <w:szCs w:val="28"/>
          <w:lang w:val="lv-LV" w:eastAsia="en-US"/>
        </w:rPr>
      </w:pPr>
      <w:r w:rsidRPr="0008395E">
        <w:rPr>
          <w:b/>
          <w:i/>
          <w:szCs w:val="28"/>
          <w:lang w:eastAsia="en-US"/>
        </w:rPr>
        <w:t>Фармакодинамика</w:t>
      </w:r>
    </w:p>
    <w:p w:rsidR="00001D83" w:rsidRPr="0008395E" w:rsidRDefault="00001D83" w:rsidP="00001D83">
      <w:pPr>
        <w:jc w:val="both"/>
        <w:rPr>
          <w:szCs w:val="28"/>
        </w:rPr>
      </w:pPr>
      <w:r w:rsidRPr="0008395E">
        <w:rPr>
          <w:szCs w:val="28"/>
        </w:rPr>
        <w:t>В проявлениях симптомов и прогрессировании нейродегенеративной деменции важную роль играет нарушение глутаматергической нейротрансмиссии, особенно с участием NMDA (N-метил-D-аспартат</w:t>
      </w:r>
      <w:proofErr w:type="gramStart"/>
      <w:r w:rsidRPr="0008395E">
        <w:rPr>
          <w:szCs w:val="28"/>
        </w:rPr>
        <w:t>)-</w:t>
      </w:r>
      <w:proofErr w:type="gramEnd"/>
      <w:r w:rsidRPr="0008395E">
        <w:rPr>
          <w:szCs w:val="28"/>
        </w:rPr>
        <w:t>рецепторов.</w:t>
      </w:r>
    </w:p>
    <w:p w:rsidR="00001D83" w:rsidRPr="0008395E" w:rsidRDefault="00001D83" w:rsidP="00001D83">
      <w:pPr>
        <w:jc w:val="both"/>
        <w:rPr>
          <w:szCs w:val="28"/>
        </w:rPr>
      </w:pPr>
      <w:r w:rsidRPr="0008395E">
        <w:rPr>
          <w:szCs w:val="28"/>
        </w:rPr>
        <w:t xml:space="preserve">Мемантин представляет собой потенциалзависимый, средней аффинности неконкурентный антагонист NMDA-рецепторов. Мемантин модулирует эффекты патологически повышенного уровня глутамата, который может </w:t>
      </w:r>
      <w:r w:rsidRPr="0008395E">
        <w:rPr>
          <w:szCs w:val="28"/>
        </w:rPr>
        <w:lastRenderedPageBreak/>
        <w:t>привести к дисфункции нейронов.</w:t>
      </w:r>
    </w:p>
    <w:p w:rsidR="00E96D7E" w:rsidRPr="0008395E" w:rsidRDefault="00CB511B" w:rsidP="00E96D7E">
      <w:pPr>
        <w:pStyle w:val="aa"/>
        <w:jc w:val="both"/>
        <w:rPr>
          <w:sz w:val="28"/>
          <w:szCs w:val="28"/>
          <w:lang w:eastAsia="pl-PL"/>
        </w:rPr>
      </w:pPr>
      <w:r w:rsidRPr="0008395E">
        <w:rPr>
          <w:sz w:val="28"/>
          <w:szCs w:val="28"/>
        </w:rPr>
        <w:t>Мемантин</w:t>
      </w:r>
      <w:r w:rsidRPr="0008395E">
        <w:rPr>
          <w:sz w:val="28"/>
          <w:szCs w:val="28"/>
          <w:lang w:eastAsia="pl-PL"/>
        </w:rPr>
        <w:t xml:space="preserve"> у</w:t>
      </w:r>
      <w:r w:rsidR="00E96D7E" w:rsidRPr="0008395E">
        <w:rPr>
          <w:sz w:val="28"/>
          <w:szCs w:val="28"/>
          <w:lang w:eastAsia="pl-PL"/>
        </w:rPr>
        <w:t>лучшает процесс перед</w:t>
      </w:r>
      <w:r w:rsidR="004D4510" w:rsidRPr="0008395E">
        <w:rPr>
          <w:sz w:val="28"/>
          <w:szCs w:val="28"/>
          <w:lang w:eastAsia="pl-PL"/>
        </w:rPr>
        <w:t>ачи нервного импульса</w:t>
      </w:r>
      <w:r w:rsidR="004D4510" w:rsidRPr="0008395E">
        <w:rPr>
          <w:sz w:val="28"/>
          <w:szCs w:val="28"/>
          <w:lang w:val="lv-LV" w:eastAsia="pl-PL"/>
        </w:rPr>
        <w:t xml:space="preserve">, </w:t>
      </w:r>
      <w:r w:rsidR="00E96D7E" w:rsidRPr="0008395E">
        <w:rPr>
          <w:sz w:val="28"/>
          <w:szCs w:val="28"/>
          <w:lang w:eastAsia="pl-PL"/>
        </w:rPr>
        <w:t>когнитивные процессы, память и способность к обучению, повышает повседневную активность.</w:t>
      </w:r>
    </w:p>
    <w:p w:rsidR="00E333AE" w:rsidRPr="0008395E" w:rsidRDefault="00E333AE" w:rsidP="00F77BB5">
      <w:pPr>
        <w:rPr>
          <w:szCs w:val="28"/>
          <w:lang w:eastAsia="en-US"/>
        </w:rPr>
      </w:pPr>
    </w:p>
    <w:p w:rsidR="00E333AE" w:rsidRPr="0008395E" w:rsidRDefault="00E333AE" w:rsidP="00E333AE">
      <w:pPr>
        <w:jc w:val="both"/>
        <w:rPr>
          <w:b/>
          <w:color w:val="000000"/>
          <w:szCs w:val="28"/>
          <w:lang w:val="lv-LV"/>
        </w:rPr>
      </w:pPr>
      <w:r w:rsidRPr="0008395E">
        <w:rPr>
          <w:b/>
          <w:color w:val="000000"/>
          <w:szCs w:val="28"/>
        </w:rPr>
        <w:t>Показания к применению</w:t>
      </w:r>
    </w:p>
    <w:p w:rsidR="00E17A7E" w:rsidRPr="0008395E" w:rsidRDefault="0051029D" w:rsidP="00E17A7E">
      <w:pPr>
        <w:pStyle w:val="BodyText1"/>
        <w:spacing w:line="190" w:lineRule="atLeast"/>
        <w:ind w:firstLine="0"/>
        <w:rPr>
          <w:rFonts w:ascii="Times New Roman" w:hAnsi="Times New Roman"/>
          <w:sz w:val="28"/>
          <w:szCs w:val="28"/>
          <w:lang w:val="ru-RU"/>
        </w:rPr>
      </w:pPr>
      <w:r w:rsidRPr="0008395E">
        <w:rPr>
          <w:rFonts w:ascii="Times New Roman" w:hAnsi="Times New Roman"/>
          <w:sz w:val="28"/>
          <w:szCs w:val="28"/>
          <w:lang w:val="ru-RU"/>
        </w:rPr>
        <w:t>Лечение пациентов с</w:t>
      </w:r>
      <w:r w:rsidR="0019128B" w:rsidRPr="0008395E">
        <w:rPr>
          <w:rFonts w:ascii="Times New Roman" w:hAnsi="Times New Roman"/>
          <w:sz w:val="28"/>
          <w:szCs w:val="28"/>
          <w:lang w:val="ru-RU"/>
        </w:rPr>
        <w:t xml:space="preserve"> умеренной</w:t>
      </w:r>
      <w:r w:rsidR="00E17A7E" w:rsidRPr="0008395E">
        <w:rPr>
          <w:rFonts w:ascii="Times New Roman" w:hAnsi="Times New Roman"/>
          <w:sz w:val="28"/>
          <w:szCs w:val="28"/>
          <w:lang w:val="ru-RU"/>
        </w:rPr>
        <w:t xml:space="preserve"> и тяжелой</w:t>
      </w:r>
      <w:r w:rsidRPr="0008395E">
        <w:rPr>
          <w:rFonts w:ascii="Times New Roman" w:hAnsi="Times New Roman"/>
          <w:sz w:val="28"/>
          <w:szCs w:val="28"/>
          <w:lang w:val="ru-RU"/>
        </w:rPr>
        <w:t xml:space="preserve"> болезнью Альцгеймера</w:t>
      </w:r>
      <w:r w:rsidR="00E17A7E" w:rsidRPr="0008395E">
        <w:rPr>
          <w:rFonts w:ascii="Times New Roman" w:hAnsi="Times New Roman"/>
          <w:sz w:val="28"/>
          <w:szCs w:val="28"/>
          <w:lang w:val="ru-RU"/>
        </w:rPr>
        <w:t>.</w:t>
      </w:r>
    </w:p>
    <w:p w:rsidR="00CC7C1A" w:rsidRPr="0008395E" w:rsidRDefault="00CC7C1A" w:rsidP="00E333AE">
      <w:pPr>
        <w:jc w:val="both"/>
        <w:rPr>
          <w:b/>
          <w:color w:val="000000"/>
          <w:szCs w:val="28"/>
        </w:rPr>
      </w:pPr>
    </w:p>
    <w:p w:rsidR="00E333AE" w:rsidRPr="0008395E" w:rsidRDefault="00E333AE" w:rsidP="00E333AE">
      <w:pPr>
        <w:jc w:val="both"/>
        <w:rPr>
          <w:b/>
          <w:color w:val="000000"/>
          <w:spacing w:val="-15"/>
          <w:szCs w:val="28"/>
        </w:rPr>
      </w:pPr>
      <w:r w:rsidRPr="0008395E">
        <w:rPr>
          <w:b/>
          <w:color w:val="000000"/>
          <w:szCs w:val="28"/>
        </w:rPr>
        <w:t>Способ применения и дозы</w:t>
      </w:r>
    </w:p>
    <w:p w:rsidR="00AA39B8" w:rsidRPr="0008395E" w:rsidRDefault="00AA39B8" w:rsidP="00AA39B8">
      <w:pPr>
        <w:widowControl/>
        <w:jc w:val="both"/>
        <w:rPr>
          <w:szCs w:val="28"/>
          <w:lang w:eastAsia="en-US"/>
        </w:rPr>
      </w:pPr>
      <w:r w:rsidRPr="0008395E">
        <w:rPr>
          <w:szCs w:val="28"/>
          <w:lang w:eastAsia="en-US"/>
        </w:rPr>
        <w:t>Лечение следует начинать и проводить под наблюдением врача с опытом диагностики и лечения болезни Альцгеймера.</w:t>
      </w:r>
    </w:p>
    <w:p w:rsidR="00AA39B8" w:rsidRPr="0008395E" w:rsidRDefault="00AA39B8" w:rsidP="00AA39B8">
      <w:pPr>
        <w:widowControl/>
        <w:jc w:val="both"/>
        <w:rPr>
          <w:szCs w:val="28"/>
          <w:lang w:eastAsia="en-US"/>
        </w:rPr>
      </w:pPr>
      <w:r w:rsidRPr="0008395E">
        <w:rPr>
          <w:szCs w:val="28"/>
          <w:lang w:eastAsia="en-US"/>
        </w:rPr>
        <w:t>Лечение следует начинать только при условии наличия опекуна, который будет регулярно контролировать прием препарата пациентом. Диагноз должен быть поставлен в соответствии с действующими правилами.</w:t>
      </w:r>
    </w:p>
    <w:p w:rsidR="00521820" w:rsidRPr="0008395E" w:rsidRDefault="00521820" w:rsidP="00521820">
      <w:pPr>
        <w:jc w:val="both"/>
        <w:rPr>
          <w:i/>
          <w:szCs w:val="28"/>
        </w:rPr>
      </w:pPr>
      <w:r w:rsidRPr="0008395E">
        <w:rPr>
          <w:szCs w:val="28"/>
        </w:rPr>
        <w:t>Следует регулярно оценивать переносимость и дозировку мемантина, лучше в течение трех месяцев от начала лечения. В дальнейшем клинический эффект мемантина и реакцию пациента на лечение следует оценивать регулярно в соответствии с действующими клиническими рекомендациями. Поддерживающее лечение можно продолжать, пока терапевтический эффект остается благоприятным, а переносимость мемантина пациентом – хорошей. Следует рассмотреть возможность прекращения лечения мемантином, если исчезают признаки терапевтического эффекта или ухудшается переносимость лечения пациентом.</w:t>
      </w:r>
    </w:p>
    <w:p w:rsidR="00AA39B8" w:rsidRPr="0008395E" w:rsidRDefault="00AA39B8" w:rsidP="00AA39B8">
      <w:pPr>
        <w:widowControl/>
        <w:spacing w:line="190" w:lineRule="atLeast"/>
        <w:jc w:val="both"/>
        <w:rPr>
          <w:color w:val="000000"/>
          <w:szCs w:val="28"/>
          <w:lang w:eastAsia="lv-LV"/>
        </w:rPr>
      </w:pPr>
    </w:p>
    <w:p w:rsidR="00AA39B8" w:rsidRPr="0008395E" w:rsidRDefault="00AA39B8" w:rsidP="00AA39B8">
      <w:pPr>
        <w:widowControl/>
        <w:spacing w:line="190" w:lineRule="atLeast"/>
        <w:jc w:val="both"/>
        <w:rPr>
          <w:color w:val="000000"/>
          <w:szCs w:val="28"/>
          <w:u w:val="single"/>
          <w:lang w:eastAsia="lv-LV"/>
        </w:rPr>
      </w:pPr>
      <w:r w:rsidRPr="0008395E">
        <w:rPr>
          <w:color w:val="000000"/>
          <w:szCs w:val="28"/>
          <w:u w:val="single"/>
          <w:lang w:eastAsia="lv-LV"/>
        </w:rPr>
        <w:t>Дозы</w:t>
      </w:r>
    </w:p>
    <w:p w:rsidR="00AA39B8" w:rsidRPr="0008395E" w:rsidRDefault="00AA39B8" w:rsidP="00AA39B8">
      <w:pPr>
        <w:widowControl/>
        <w:spacing w:line="190" w:lineRule="atLeast"/>
        <w:jc w:val="both"/>
        <w:rPr>
          <w:i/>
          <w:color w:val="000000"/>
          <w:szCs w:val="28"/>
          <w:lang w:eastAsia="lv-LV"/>
        </w:rPr>
      </w:pPr>
    </w:p>
    <w:p w:rsidR="00AA39B8" w:rsidRPr="0008395E" w:rsidRDefault="00AA39B8" w:rsidP="00AA39B8">
      <w:pPr>
        <w:widowControl/>
        <w:spacing w:line="190" w:lineRule="atLeast"/>
        <w:jc w:val="both"/>
        <w:rPr>
          <w:color w:val="000000"/>
          <w:szCs w:val="28"/>
          <w:lang w:val="lv-LV" w:eastAsia="lv-LV"/>
        </w:rPr>
      </w:pPr>
      <w:r w:rsidRPr="0008395E">
        <w:rPr>
          <w:i/>
          <w:color w:val="000000"/>
          <w:szCs w:val="28"/>
          <w:lang w:eastAsia="lv-LV"/>
        </w:rPr>
        <w:t>Взрослые</w:t>
      </w:r>
    </w:p>
    <w:p w:rsidR="00F066E9" w:rsidRPr="0008395E" w:rsidRDefault="00AA39B8" w:rsidP="00C00E56">
      <w:pPr>
        <w:widowControl/>
        <w:spacing w:line="190" w:lineRule="atLeast"/>
        <w:jc w:val="both"/>
        <w:rPr>
          <w:color w:val="000000"/>
          <w:szCs w:val="28"/>
          <w:lang w:val="lv-LV" w:eastAsia="lv-LV"/>
        </w:rPr>
      </w:pPr>
      <w:r w:rsidRPr="0008395E">
        <w:rPr>
          <w:color w:val="000000"/>
          <w:szCs w:val="28"/>
          <w:lang w:eastAsia="lv-LV"/>
        </w:rPr>
        <w:t>Максимальная суточна</w:t>
      </w:r>
      <w:r w:rsidR="00B70443" w:rsidRPr="0008395E">
        <w:rPr>
          <w:color w:val="000000"/>
          <w:szCs w:val="28"/>
          <w:lang w:eastAsia="lv-LV"/>
        </w:rPr>
        <w:t>я доза составляет 20 мг в день.</w:t>
      </w:r>
      <w:r w:rsidR="00C00E56" w:rsidRPr="0008395E">
        <w:rPr>
          <w:color w:val="000000"/>
          <w:szCs w:val="28"/>
          <w:lang w:val="lv-LV" w:eastAsia="lv-LV"/>
        </w:rPr>
        <w:t xml:space="preserve"> </w:t>
      </w:r>
      <w:r w:rsidR="00F066E9" w:rsidRPr="0008395E">
        <w:rPr>
          <w:szCs w:val="28"/>
        </w:rPr>
        <w:t>С целью снижения риска развития нежелательных эффектов, поддерживающая дозировка достигается путем постепенного повышения дозы на 5 мг в неделю в течение первых 3-х недель:</w:t>
      </w:r>
    </w:p>
    <w:p w:rsidR="00F066E9" w:rsidRPr="0008395E" w:rsidRDefault="00F066E9" w:rsidP="001944EC">
      <w:pPr>
        <w:widowControl/>
        <w:tabs>
          <w:tab w:val="right" w:pos="8958"/>
        </w:tabs>
        <w:jc w:val="both"/>
        <w:rPr>
          <w:i/>
          <w:szCs w:val="28"/>
        </w:rPr>
      </w:pPr>
      <w:r w:rsidRPr="0008395E">
        <w:rPr>
          <w:i/>
          <w:szCs w:val="28"/>
        </w:rPr>
        <w:t>Неделя  1</w:t>
      </w:r>
      <w:r w:rsidRPr="0008395E">
        <w:rPr>
          <w:szCs w:val="28"/>
        </w:rPr>
        <w:t xml:space="preserve"> </w:t>
      </w:r>
      <w:r w:rsidRPr="0008395E">
        <w:rPr>
          <w:i/>
          <w:szCs w:val="28"/>
        </w:rPr>
        <w:t>(дни 1-7):</w:t>
      </w:r>
      <w:r w:rsidR="001944EC" w:rsidRPr="0008395E">
        <w:rPr>
          <w:i/>
          <w:szCs w:val="28"/>
        </w:rPr>
        <w:tab/>
      </w:r>
    </w:p>
    <w:p w:rsidR="00F066E9" w:rsidRPr="0008395E" w:rsidRDefault="00F066E9" w:rsidP="00F066E9">
      <w:pPr>
        <w:widowControl/>
        <w:jc w:val="both"/>
        <w:rPr>
          <w:szCs w:val="28"/>
        </w:rPr>
      </w:pPr>
      <w:r w:rsidRPr="0008395E">
        <w:rPr>
          <w:szCs w:val="28"/>
        </w:rPr>
        <w:t>Пациент принимает половину таблетки 10 мг, т.е. 5 мг в день в течение 7 дней.</w:t>
      </w:r>
    </w:p>
    <w:p w:rsidR="00F066E9" w:rsidRPr="0008395E" w:rsidRDefault="00F066E9" w:rsidP="00F066E9">
      <w:pPr>
        <w:widowControl/>
        <w:jc w:val="both"/>
        <w:rPr>
          <w:i/>
          <w:szCs w:val="28"/>
        </w:rPr>
      </w:pPr>
      <w:r w:rsidRPr="0008395E">
        <w:rPr>
          <w:i/>
          <w:szCs w:val="28"/>
        </w:rPr>
        <w:t>Неделя  2 (дни 8-14):</w:t>
      </w:r>
    </w:p>
    <w:p w:rsidR="00F066E9" w:rsidRPr="0008395E" w:rsidRDefault="00F066E9" w:rsidP="00F066E9">
      <w:pPr>
        <w:widowControl/>
        <w:jc w:val="both"/>
        <w:rPr>
          <w:szCs w:val="28"/>
        </w:rPr>
      </w:pPr>
      <w:r w:rsidRPr="0008395E">
        <w:rPr>
          <w:szCs w:val="28"/>
        </w:rPr>
        <w:t>Пациент принимает одну таблетку 10 мг в день в течение 7 дней.</w:t>
      </w:r>
    </w:p>
    <w:p w:rsidR="00F066E9" w:rsidRPr="0008395E" w:rsidRDefault="00F066E9" w:rsidP="00F066E9">
      <w:pPr>
        <w:widowControl/>
        <w:jc w:val="both"/>
        <w:rPr>
          <w:i/>
          <w:szCs w:val="28"/>
        </w:rPr>
      </w:pPr>
      <w:r w:rsidRPr="0008395E">
        <w:rPr>
          <w:i/>
          <w:szCs w:val="28"/>
        </w:rPr>
        <w:t>Неделя  3 (дни 15-21):</w:t>
      </w:r>
    </w:p>
    <w:p w:rsidR="00F066E9" w:rsidRPr="0008395E" w:rsidRDefault="00F066E9" w:rsidP="00F066E9">
      <w:pPr>
        <w:widowControl/>
        <w:jc w:val="both"/>
        <w:rPr>
          <w:szCs w:val="28"/>
        </w:rPr>
      </w:pPr>
      <w:r w:rsidRPr="0008395E">
        <w:rPr>
          <w:szCs w:val="28"/>
        </w:rPr>
        <w:t>Пациент принимает полторы таблетки 10 мг, т.е. 15 мг в день в течение 7 дней.</w:t>
      </w:r>
    </w:p>
    <w:p w:rsidR="00F066E9" w:rsidRPr="0008395E" w:rsidRDefault="00F066E9" w:rsidP="00F066E9">
      <w:pPr>
        <w:widowControl/>
        <w:jc w:val="both"/>
        <w:rPr>
          <w:i/>
          <w:szCs w:val="28"/>
        </w:rPr>
      </w:pPr>
      <w:r w:rsidRPr="0008395E">
        <w:rPr>
          <w:i/>
          <w:szCs w:val="28"/>
        </w:rPr>
        <w:t>Начиная с недели 4:</w:t>
      </w:r>
    </w:p>
    <w:p w:rsidR="00F066E9" w:rsidRPr="0008395E" w:rsidRDefault="00F066E9" w:rsidP="00F066E9">
      <w:pPr>
        <w:widowControl/>
        <w:jc w:val="both"/>
        <w:rPr>
          <w:szCs w:val="28"/>
        </w:rPr>
      </w:pPr>
      <w:r w:rsidRPr="0008395E">
        <w:rPr>
          <w:szCs w:val="28"/>
        </w:rPr>
        <w:t>Пациент принимает две таблетки по 10 мг,  т.е. 20 мг в день.</w:t>
      </w:r>
    </w:p>
    <w:p w:rsidR="00AA39B8" w:rsidRPr="0008395E" w:rsidRDefault="00AA39B8" w:rsidP="00AA39B8">
      <w:pPr>
        <w:widowControl/>
        <w:spacing w:line="190" w:lineRule="atLeast"/>
        <w:jc w:val="both"/>
        <w:rPr>
          <w:color w:val="000000"/>
          <w:szCs w:val="28"/>
          <w:lang w:eastAsia="lv-LV"/>
        </w:rPr>
      </w:pPr>
    </w:p>
    <w:p w:rsidR="00AA39B8" w:rsidRPr="0008395E" w:rsidRDefault="00AA39B8" w:rsidP="00AA39B8">
      <w:pPr>
        <w:widowControl/>
        <w:spacing w:line="190" w:lineRule="atLeast"/>
        <w:jc w:val="both"/>
        <w:rPr>
          <w:i/>
          <w:color w:val="000000"/>
          <w:szCs w:val="28"/>
          <w:u w:val="single"/>
          <w:lang w:eastAsia="lv-LV"/>
        </w:rPr>
      </w:pPr>
      <w:r w:rsidRPr="0008395E">
        <w:rPr>
          <w:i/>
          <w:color w:val="000000"/>
          <w:szCs w:val="28"/>
          <w:u w:val="single"/>
          <w:lang w:eastAsia="lv-LV"/>
        </w:rPr>
        <w:t>Поддерживающая доза</w:t>
      </w:r>
    </w:p>
    <w:p w:rsidR="00AA39B8" w:rsidRPr="0008395E" w:rsidRDefault="00AA39B8" w:rsidP="00AA39B8">
      <w:pPr>
        <w:widowControl/>
        <w:spacing w:line="190" w:lineRule="atLeast"/>
        <w:jc w:val="both"/>
        <w:rPr>
          <w:color w:val="000000"/>
          <w:szCs w:val="28"/>
          <w:lang w:eastAsia="lv-LV"/>
        </w:rPr>
      </w:pPr>
      <w:r w:rsidRPr="0008395E">
        <w:rPr>
          <w:color w:val="000000"/>
          <w:szCs w:val="28"/>
          <w:lang w:eastAsia="lv-LV"/>
        </w:rPr>
        <w:t>Рекомендуемая поддерживающая доза составляет 20 мг в день.</w:t>
      </w:r>
    </w:p>
    <w:p w:rsidR="00AA39B8" w:rsidRPr="0008395E" w:rsidRDefault="00AA39B8" w:rsidP="00AA39B8">
      <w:pPr>
        <w:widowControl/>
        <w:spacing w:line="190" w:lineRule="atLeast"/>
        <w:jc w:val="both"/>
        <w:rPr>
          <w:color w:val="000000"/>
          <w:szCs w:val="28"/>
          <w:lang w:eastAsia="lv-LV"/>
        </w:rPr>
      </w:pPr>
    </w:p>
    <w:p w:rsidR="004B266C" w:rsidRPr="0008395E" w:rsidRDefault="00EA16AD" w:rsidP="004B266C">
      <w:pPr>
        <w:jc w:val="both"/>
        <w:rPr>
          <w:i/>
          <w:szCs w:val="28"/>
        </w:rPr>
      </w:pPr>
      <w:r w:rsidRPr="0008395E">
        <w:rPr>
          <w:i/>
          <w:szCs w:val="28"/>
        </w:rPr>
        <w:t>Пациенты пожилого возраста</w:t>
      </w:r>
    </w:p>
    <w:p w:rsidR="00AA39B8" w:rsidRPr="0008395E" w:rsidRDefault="00AA39B8" w:rsidP="00AA39B8">
      <w:pPr>
        <w:widowControl/>
        <w:spacing w:line="190" w:lineRule="atLeast"/>
        <w:jc w:val="both"/>
        <w:rPr>
          <w:color w:val="000000"/>
          <w:szCs w:val="28"/>
          <w:lang w:eastAsia="lv-LV"/>
        </w:rPr>
      </w:pPr>
      <w:r w:rsidRPr="0008395E">
        <w:rPr>
          <w:color w:val="000000"/>
          <w:szCs w:val="28"/>
          <w:lang w:eastAsia="lv-LV"/>
        </w:rPr>
        <w:t xml:space="preserve">Принимая во внимание данные клинических исследований, рекомендуемая доза пациентам старше 65 лет составляет 20 мг в день (две </w:t>
      </w:r>
      <w:r w:rsidR="00ED1ACB" w:rsidRPr="0008395E">
        <w:rPr>
          <w:color w:val="000000"/>
          <w:szCs w:val="28"/>
          <w:lang w:eastAsia="lv-LV"/>
        </w:rPr>
        <w:t xml:space="preserve">таблетки по 10 мг </w:t>
      </w:r>
      <w:r w:rsidR="009A51C6" w:rsidRPr="0008395E">
        <w:rPr>
          <w:color w:val="000000"/>
          <w:szCs w:val="28"/>
          <w:lang w:eastAsia="lv-LV"/>
        </w:rPr>
        <w:t>один раз в сутки</w:t>
      </w:r>
      <w:r w:rsidRPr="0008395E">
        <w:rPr>
          <w:color w:val="000000"/>
          <w:szCs w:val="28"/>
          <w:lang w:eastAsia="lv-LV"/>
        </w:rPr>
        <w:t>), как описано ранее.</w:t>
      </w:r>
    </w:p>
    <w:p w:rsidR="003A0340" w:rsidRPr="0008395E" w:rsidRDefault="003A0340" w:rsidP="00AA39B8">
      <w:pPr>
        <w:widowControl/>
        <w:spacing w:line="190" w:lineRule="atLeast"/>
        <w:jc w:val="both"/>
        <w:rPr>
          <w:i/>
          <w:color w:val="000000"/>
          <w:szCs w:val="28"/>
          <w:lang w:eastAsia="lv-LV"/>
        </w:rPr>
      </w:pPr>
    </w:p>
    <w:p w:rsidR="00AA39B8" w:rsidRPr="0008395E" w:rsidRDefault="00AA39B8" w:rsidP="00AA39B8">
      <w:pPr>
        <w:widowControl/>
        <w:spacing w:line="190" w:lineRule="atLeast"/>
        <w:jc w:val="both"/>
        <w:rPr>
          <w:i/>
          <w:color w:val="000000"/>
          <w:szCs w:val="28"/>
          <w:lang w:eastAsia="lv-LV"/>
        </w:rPr>
      </w:pPr>
      <w:r w:rsidRPr="0008395E">
        <w:rPr>
          <w:i/>
          <w:color w:val="000000"/>
          <w:szCs w:val="28"/>
          <w:lang w:eastAsia="lv-LV"/>
        </w:rPr>
        <w:t>Пациенты с нарушением деятельности почек</w:t>
      </w:r>
    </w:p>
    <w:p w:rsidR="00AA39B8" w:rsidRPr="0008395E" w:rsidRDefault="00AA39B8" w:rsidP="00AA39B8">
      <w:pPr>
        <w:widowControl/>
        <w:spacing w:line="190" w:lineRule="atLeast"/>
        <w:jc w:val="both"/>
        <w:rPr>
          <w:color w:val="000000"/>
          <w:szCs w:val="28"/>
          <w:lang w:eastAsia="lv-LV"/>
        </w:rPr>
      </w:pPr>
      <w:r w:rsidRPr="0008395E">
        <w:rPr>
          <w:color w:val="000000"/>
          <w:szCs w:val="28"/>
          <w:lang w:eastAsia="lv-LV"/>
        </w:rPr>
        <w:t>Пациентам с легкими нарушениями деятельности почек (клиренс креатинина 50</w:t>
      </w:r>
      <w:r w:rsidRPr="0008395E">
        <w:rPr>
          <w:color w:val="000000"/>
          <w:szCs w:val="28"/>
          <w:lang w:eastAsia="lv-LV"/>
        </w:rPr>
        <w:noBreakHyphen/>
        <w:t>80</w:t>
      </w:r>
      <w:r w:rsidRPr="0008395E">
        <w:rPr>
          <w:color w:val="000000"/>
          <w:szCs w:val="28"/>
          <w:lang w:val="en-US" w:eastAsia="lv-LV"/>
        </w:rPr>
        <w:t> </w:t>
      </w:r>
      <w:r w:rsidRPr="0008395E">
        <w:rPr>
          <w:color w:val="000000"/>
          <w:szCs w:val="28"/>
          <w:lang w:eastAsia="lv-LV"/>
        </w:rPr>
        <w:t xml:space="preserve">мл/мин) подбор дозы не требуется. Пациентам с нарушениями деятельности почек </w:t>
      </w:r>
      <w:r w:rsidR="006E52A4" w:rsidRPr="0008395E">
        <w:rPr>
          <w:color w:val="000000"/>
          <w:szCs w:val="28"/>
          <w:lang w:eastAsia="lv-LV"/>
        </w:rPr>
        <w:t>умеренной</w:t>
      </w:r>
      <w:r w:rsidRPr="0008395E">
        <w:rPr>
          <w:color w:val="000000"/>
          <w:szCs w:val="28"/>
          <w:lang w:eastAsia="lv-LV"/>
        </w:rPr>
        <w:t xml:space="preserve"> степени тяжести (клиренс креатинина 30-49</w:t>
      </w:r>
      <w:r w:rsidRPr="0008395E">
        <w:rPr>
          <w:color w:val="000000"/>
          <w:szCs w:val="28"/>
          <w:lang w:val="en-US" w:eastAsia="lv-LV"/>
        </w:rPr>
        <w:t> </w:t>
      </w:r>
      <w:r w:rsidRPr="0008395E">
        <w:rPr>
          <w:color w:val="000000"/>
          <w:szCs w:val="28"/>
          <w:lang w:eastAsia="lv-LV"/>
        </w:rPr>
        <w:t xml:space="preserve">мл/мин) </w:t>
      </w:r>
      <w:r w:rsidR="003E63C0" w:rsidRPr="0008395E">
        <w:rPr>
          <w:szCs w:val="28"/>
        </w:rPr>
        <w:t>суточную дозу следует уменьшить до 10 мг</w:t>
      </w:r>
      <w:r w:rsidRPr="0008395E">
        <w:rPr>
          <w:color w:val="000000"/>
          <w:szCs w:val="28"/>
          <w:lang w:eastAsia="lv-LV"/>
        </w:rPr>
        <w:t>. Дозу можно увеличить до 20</w:t>
      </w:r>
      <w:r w:rsidRPr="0008395E">
        <w:rPr>
          <w:color w:val="000000"/>
          <w:szCs w:val="28"/>
          <w:lang w:val="en-US" w:eastAsia="lv-LV"/>
        </w:rPr>
        <w:t> </w:t>
      </w:r>
      <w:r w:rsidRPr="0008395E">
        <w:rPr>
          <w:color w:val="000000"/>
          <w:szCs w:val="28"/>
          <w:lang w:eastAsia="lv-LV"/>
        </w:rPr>
        <w:t>мг в сутки по стандартной схеме</w:t>
      </w:r>
      <w:r w:rsidR="00C33867" w:rsidRPr="0008395E">
        <w:rPr>
          <w:color w:val="000000"/>
          <w:szCs w:val="28"/>
          <w:lang w:eastAsia="lv-LV"/>
        </w:rPr>
        <w:t xml:space="preserve"> титравания</w:t>
      </w:r>
      <w:r w:rsidR="00072B66" w:rsidRPr="0008395E">
        <w:rPr>
          <w:color w:val="000000"/>
          <w:szCs w:val="28"/>
          <w:lang w:eastAsia="lv-LV"/>
        </w:rPr>
        <w:t>, если</w:t>
      </w:r>
      <w:r w:rsidRPr="0008395E">
        <w:rPr>
          <w:color w:val="000000"/>
          <w:szCs w:val="28"/>
          <w:lang w:eastAsia="lv-LV"/>
        </w:rPr>
        <w:t xml:space="preserve"> </w:t>
      </w:r>
      <w:r w:rsidR="00247714" w:rsidRPr="0008395E">
        <w:rPr>
          <w:szCs w:val="28"/>
        </w:rPr>
        <w:t>негативных реакций нет, по крайней мере, после 7 дней лечения</w:t>
      </w:r>
      <w:r w:rsidR="00247714" w:rsidRPr="0008395E">
        <w:rPr>
          <w:szCs w:val="28"/>
          <w:lang w:val="lv-LV"/>
        </w:rPr>
        <w:t>.</w:t>
      </w:r>
      <w:r w:rsidR="00247714" w:rsidRPr="0008395E">
        <w:rPr>
          <w:color w:val="000000"/>
          <w:szCs w:val="28"/>
          <w:lang w:eastAsia="lv-LV"/>
        </w:rPr>
        <w:t xml:space="preserve"> </w:t>
      </w:r>
      <w:r w:rsidRPr="0008395E">
        <w:rPr>
          <w:color w:val="000000"/>
          <w:szCs w:val="28"/>
          <w:lang w:eastAsia="lv-LV"/>
        </w:rPr>
        <w:t>Пациентам с тяжелыми нарушениями деятельности почек (клиренс креатинина 5</w:t>
      </w:r>
      <w:r w:rsidRPr="0008395E">
        <w:rPr>
          <w:color w:val="000000"/>
          <w:szCs w:val="28"/>
          <w:lang w:eastAsia="lv-LV"/>
        </w:rPr>
        <w:noBreakHyphen/>
        <w:t>29</w:t>
      </w:r>
      <w:r w:rsidRPr="0008395E">
        <w:rPr>
          <w:color w:val="000000"/>
          <w:szCs w:val="28"/>
          <w:lang w:val="en-US" w:eastAsia="lv-LV"/>
        </w:rPr>
        <w:t> </w:t>
      </w:r>
      <w:r w:rsidRPr="0008395E">
        <w:rPr>
          <w:color w:val="000000"/>
          <w:szCs w:val="28"/>
          <w:lang w:eastAsia="lv-LV"/>
        </w:rPr>
        <w:t xml:space="preserve">мл/мин) </w:t>
      </w:r>
      <w:r w:rsidR="003C1CFF" w:rsidRPr="0008395E">
        <w:rPr>
          <w:szCs w:val="28"/>
        </w:rPr>
        <w:t>суточную дозу следует уменьшить до 10</w:t>
      </w:r>
      <w:r w:rsidR="003C1CFF" w:rsidRPr="0008395E">
        <w:rPr>
          <w:szCs w:val="28"/>
          <w:lang w:val="en-US"/>
        </w:rPr>
        <w:t> </w:t>
      </w:r>
      <w:r w:rsidR="003C1CFF" w:rsidRPr="0008395E">
        <w:rPr>
          <w:szCs w:val="28"/>
        </w:rPr>
        <w:t>мг.</w:t>
      </w:r>
    </w:p>
    <w:p w:rsidR="00F8333B" w:rsidRPr="0008395E" w:rsidRDefault="00F8333B" w:rsidP="00AA39B8">
      <w:pPr>
        <w:widowControl/>
        <w:spacing w:line="190" w:lineRule="atLeast"/>
        <w:jc w:val="both"/>
        <w:rPr>
          <w:i/>
          <w:color w:val="000000"/>
          <w:szCs w:val="28"/>
          <w:lang w:eastAsia="lv-LV"/>
        </w:rPr>
      </w:pPr>
    </w:p>
    <w:p w:rsidR="00AA39B8" w:rsidRPr="0008395E" w:rsidRDefault="00AA39B8" w:rsidP="00AA39B8">
      <w:pPr>
        <w:widowControl/>
        <w:spacing w:line="190" w:lineRule="atLeast"/>
        <w:jc w:val="both"/>
        <w:rPr>
          <w:color w:val="000000"/>
          <w:szCs w:val="28"/>
          <w:lang w:eastAsia="lv-LV"/>
        </w:rPr>
      </w:pPr>
      <w:r w:rsidRPr="0008395E">
        <w:rPr>
          <w:i/>
          <w:color w:val="000000"/>
          <w:szCs w:val="28"/>
          <w:lang w:eastAsia="lv-LV"/>
        </w:rPr>
        <w:t>Пациенты с нарушением деятельности печени</w:t>
      </w:r>
    </w:p>
    <w:p w:rsidR="00FA1E1D" w:rsidRPr="0008395E" w:rsidRDefault="00FA1E1D" w:rsidP="00FA1E1D">
      <w:pPr>
        <w:jc w:val="both"/>
        <w:rPr>
          <w:szCs w:val="28"/>
        </w:rPr>
      </w:pPr>
      <w:r w:rsidRPr="0008395E">
        <w:rPr>
          <w:szCs w:val="28"/>
        </w:rPr>
        <w:t xml:space="preserve">Для пациентов с нарушением функции печени легкой или </w:t>
      </w:r>
      <w:r w:rsidR="006E52A4" w:rsidRPr="0008395E">
        <w:rPr>
          <w:szCs w:val="28"/>
        </w:rPr>
        <w:t>умеренной</w:t>
      </w:r>
      <w:r w:rsidRPr="0008395E">
        <w:rPr>
          <w:szCs w:val="28"/>
        </w:rPr>
        <w:t xml:space="preserve"> степени тяжести (класс</w:t>
      </w:r>
      <w:proofErr w:type="gramStart"/>
      <w:r w:rsidRPr="0008395E">
        <w:rPr>
          <w:szCs w:val="28"/>
        </w:rPr>
        <w:t xml:space="preserve"> А</w:t>
      </w:r>
      <w:proofErr w:type="gramEnd"/>
      <w:r w:rsidRPr="0008395E">
        <w:rPr>
          <w:szCs w:val="28"/>
        </w:rPr>
        <w:t xml:space="preserve"> и B по классификации Чайлд-Пью) коррекция дозы не требуется. Применение мемантина пациентам с тяжелыми нарушениями функции печени не рекомендуется.</w:t>
      </w:r>
    </w:p>
    <w:p w:rsidR="00AA39B8" w:rsidRPr="0008395E" w:rsidRDefault="00AA39B8" w:rsidP="00AA39B8">
      <w:pPr>
        <w:widowControl/>
        <w:spacing w:line="190" w:lineRule="atLeast"/>
        <w:jc w:val="both"/>
        <w:rPr>
          <w:color w:val="000000"/>
          <w:szCs w:val="28"/>
          <w:lang w:eastAsia="lv-LV"/>
        </w:rPr>
      </w:pPr>
    </w:p>
    <w:p w:rsidR="00AA39B8" w:rsidRPr="0008395E" w:rsidRDefault="00AA39B8" w:rsidP="00AA39B8">
      <w:pPr>
        <w:widowControl/>
        <w:spacing w:line="190" w:lineRule="atLeast"/>
        <w:jc w:val="both"/>
        <w:rPr>
          <w:i/>
          <w:color w:val="000000"/>
          <w:szCs w:val="28"/>
          <w:lang w:eastAsia="lv-LV"/>
        </w:rPr>
      </w:pPr>
      <w:r w:rsidRPr="0008395E">
        <w:rPr>
          <w:i/>
          <w:color w:val="000000"/>
          <w:szCs w:val="28"/>
          <w:lang w:eastAsia="lv-LV"/>
        </w:rPr>
        <w:t>Педиатрическая популяция</w:t>
      </w:r>
    </w:p>
    <w:p w:rsidR="00AA39B8" w:rsidRPr="0008395E" w:rsidRDefault="00AA39B8" w:rsidP="00AA39B8">
      <w:pPr>
        <w:widowControl/>
        <w:jc w:val="both"/>
        <w:rPr>
          <w:szCs w:val="28"/>
          <w:lang w:eastAsia="en-US"/>
        </w:rPr>
      </w:pPr>
      <w:r w:rsidRPr="0008395E">
        <w:rPr>
          <w:szCs w:val="28"/>
          <w:lang w:eastAsia="en-US"/>
        </w:rPr>
        <w:t>Мемантин не рекомендуется применять детям в возрасте до 18 лет, в связи с отсутствием данных о безопасности и эффективности его применения.</w:t>
      </w:r>
    </w:p>
    <w:p w:rsidR="00AA39B8" w:rsidRPr="0008395E" w:rsidRDefault="00AA39B8" w:rsidP="00AA39B8">
      <w:pPr>
        <w:widowControl/>
        <w:spacing w:line="190" w:lineRule="atLeast"/>
        <w:jc w:val="both"/>
        <w:rPr>
          <w:i/>
          <w:color w:val="000000"/>
          <w:szCs w:val="28"/>
          <w:lang w:eastAsia="lv-LV"/>
        </w:rPr>
      </w:pPr>
    </w:p>
    <w:p w:rsidR="00AA39B8" w:rsidRPr="0008395E" w:rsidRDefault="00AA39B8" w:rsidP="00AA39B8">
      <w:pPr>
        <w:widowControl/>
        <w:spacing w:line="190" w:lineRule="atLeast"/>
        <w:jc w:val="both"/>
        <w:rPr>
          <w:i/>
          <w:color w:val="000000"/>
          <w:szCs w:val="28"/>
          <w:u w:val="single"/>
          <w:lang w:eastAsia="lv-LV"/>
        </w:rPr>
      </w:pPr>
      <w:r w:rsidRPr="0008395E">
        <w:rPr>
          <w:i/>
          <w:color w:val="000000"/>
          <w:szCs w:val="28"/>
          <w:u w:val="single"/>
          <w:lang w:eastAsia="lv-LV"/>
        </w:rPr>
        <w:t>Способ применения</w:t>
      </w:r>
    </w:p>
    <w:p w:rsidR="00AA39B8" w:rsidRPr="0008395E" w:rsidRDefault="00AA39B8" w:rsidP="00AA39B8">
      <w:pPr>
        <w:widowControl/>
        <w:jc w:val="both"/>
        <w:rPr>
          <w:szCs w:val="28"/>
          <w:lang w:eastAsia="en-US"/>
        </w:rPr>
      </w:pPr>
      <w:r w:rsidRPr="0008395E">
        <w:rPr>
          <w:szCs w:val="28"/>
          <w:lang w:eastAsia="en-US"/>
        </w:rPr>
        <w:t>Для применения внутрь.</w:t>
      </w:r>
      <w:r w:rsidRPr="0008395E">
        <w:rPr>
          <w:szCs w:val="28"/>
          <w:lang w:val="lv-LV" w:eastAsia="en-US"/>
        </w:rPr>
        <w:t xml:space="preserve"> </w:t>
      </w:r>
      <w:r w:rsidRPr="0008395E">
        <w:rPr>
          <w:szCs w:val="28"/>
          <w:lang w:eastAsia="en-US"/>
        </w:rPr>
        <w:t>Препарат</w:t>
      </w:r>
      <w:r w:rsidR="00357F83" w:rsidRPr="0008395E">
        <w:rPr>
          <w:szCs w:val="28"/>
          <w:lang w:eastAsia="en-US"/>
        </w:rPr>
        <w:t xml:space="preserve"> следует применять раз в сутки</w:t>
      </w:r>
      <w:r w:rsidRPr="0008395E">
        <w:rPr>
          <w:szCs w:val="28"/>
          <w:lang w:eastAsia="en-US"/>
        </w:rPr>
        <w:t>, каждый день в одно и то же время. Таблетки</w:t>
      </w:r>
      <w:r w:rsidR="00237BC7" w:rsidRPr="0008395E">
        <w:rPr>
          <w:szCs w:val="28"/>
          <w:lang w:eastAsia="en-US"/>
        </w:rPr>
        <w:t xml:space="preserve"> </w:t>
      </w:r>
      <w:r w:rsidRPr="0008395E">
        <w:rPr>
          <w:szCs w:val="28"/>
          <w:lang w:eastAsia="en-US"/>
        </w:rPr>
        <w:t>мож</w:t>
      </w:r>
      <w:r w:rsidR="005D2B0F" w:rsidRPr="0008395E">
        <w:rPr>
          <w:szCs w:val="28"/>
          <w:lang w:eastAsia="en-US"/>
        </w:rPr>
        <w:t>но применять независимо от приема пищи</w:t>
      </w:r>
      <w:r w:rsidRPr="0008395E">
        <w:rPr>
          <w:szCs w:val="28"/>
          <w:lang w:eastAsia="en-US"/>
        </w:rPr>
        <w:t>.</w:t>
      </w:r>
    </w:p>
    <w:p w:rsidR="00E333AE" w:rsidRPr="0008395E" w:rsidRDefault="00E333AE" w:rsidP="00E333AE">
      <w:pPr>
        <w:jc w:val="both"/>
        <w:rPr>
          <w:b/>
          <w:color w:val="000000"/>
          <w:szCs w:val="28"/>
        </w:rPr>
      </w:pPr>
    </w:p>
    <w:p w:rsidR="00E333AE" w:rsidRPr="0008395E" w:rsidRDefault="00E333AE" w:rsidP="00E333AE">
      <w:pPr>
        <w:jc w:val="both"/>
        <w:rPr>
          <w:b/>
          <w:color w:val="000000"/>
          <w:szCs w:val="28"/>
          <w:lang w:val="lv-LV"/>
        </w:rPr>
      </w:pPr>
      <w:r w:rsidRPr="0008395E">
        <w:rPr>
          <w:b/>
          <w:color w:val="000000"/>
          <w:szCs w:val="28"/>
        </w:rPr>
        <w:t xml:space="preserve">Побочные действия </w:t>
      </w:r>
    </w:p>
    <w:p w:rsidR="001045DC" w:rsidRPr="0008395E" w:rsidRDefault="001045DC" w:rsidP="001045DC">
      <w:pPr>
        <w:jc w:val="both"/>
        <w:rPr>
          <w:szCs w:val="28"/>
        </w:rPr>
      </w:pPr>
      <w:r w:rsidRPr="0008395E">
        <w:rPr>
          <w:szCs w:val="28"/>
        </w:rPr>
        <w:t xml:space="preserve">Во время клинических исследований </w:t>
      </w:r>
      <w:proofErr w:type="spellStart"/>
      <w:r w:rsidRPr="0008395E">
        <w:rPr>
          <w:szCs w:val="28"/>
        </w:rPr>
        <w:t>мемантина</w:t>
      </w:r>
      <w:proofErr w:type="spellEnd"/>
      <w:r w:rsidRPr="0008395E">
        <w:rPr>
          <w:szCs w:val="28"/>
        </w:rPr>
        <w:t xml:space="preserve"> общая частота нежелательных явлений не отличалась от таковой на фоне приема плацебо, а явления обычно имели легкую или умеренную степень тяжести.</w:t>
      </w:r>
    </w:p>
    <w:p w:rsidR="001944EC" w:rsidRPr="000B1DEB" w:rsidRDefault="001944EC" w:rsidP="00E32E2D">
      <w:pPr>
        <w:widowControl/>
        <w:tabs>
          <w:tab w:val="left" w:leader="dot" w:pos="3100"/>
          <w:tab w:val="left" w:pos="3260"/>
        </w:tabs>
        <w:autoSpaceDE w:val="0"/>
        <w:autoSpaceDN w:val="0"/>
        <w:adjustRightInd w:val="0"/>
        <w:spacing w:line="204" w:lineRule="atLeast"/>
        <w:jc w:val="both"/>
        <w:rPr>
          <w:szCs w:val="28"/>
          <w:lang w:val="lv-LV" w:eastAsia="lv-LV"/>
        </w:rPr>
      </w:pPr>
    </w:p>
    <w:p w:rsidR="00E32E2D" w:rsidRPr="004D1FFF" w:rsidRDefault="00E32E2D" w:rsidP="00E32E2D">
      <w:pPr>
        <w:widowControl/>
        <w:tabs>
          <w:tab w:val="left" w:leader="dot" w:pos="3100"/>
          <w:tab w:val="left" w:pos="3260"/>
        </w:tabs>
        <w:autoSpaceDE w:val="0"/>
        <w:autoSpaceDN w:val="0"/>
        <w:adjustRightInd w:val="0"/>
        <w:spacing w:line="204" w:lineRule="atLeast"/>
        <w:jc w:val="both"/>
        <w:rPr>
          <w:szCs w:val="28"/>
          <w:lang w:val="lv-LV" w:eastAsia="lv-LV"/>
        </w:rPr>
      </w:pPr>
      <w:r w:rsidRPr="000B1DEB">
        <w:rPr>
          <w:i/>
          <w:szCs w:val="28"/>
          <w:lang w:eastAsia="lv-LV"/>
        </w:rPr>
        <w:t>Часто</w:t>
      </w:r>
      <w:r w:rsidR="002D3FD8" w:rsidRPr="000B1DEB">
        <w:rPr>
          <w:i/>
          <w:szCs w:val="28"/>
          <w:lang w:val="lv-LV" w:eastAsia="lv-LV"/>
        </w:rPr>
        <w:t xml:space="preserve"> </w:t>
      </w:r>
      <w:r w:rsidR="002D3FD8" w:rsidRPr="000B1DEB">
        <w:rPr>
          <w:i/>
          <w:szCs w:val="28"/>
        </w:rPr>
        <w:t>(≥ 1/100 до &lt; 1/10)</w:t>
      </w:r>
    </w:p>
    <w:p w:rsidR="00E32E2D" w:rsidRPr="000B1DEB" w:rsidRDefault="000F0685" w:rsidP="004D1FFF">
      <w:pPr>
        <w:widowControl/>
        <w:numPr>
          <w:ilvl w:val="0"/>
          <w:numId w:val="7"/>
        </w:numPr>
        <w:spacing w:after="200"/>
        <w:contextualSpacing/>
        <w:jc w:val="both"/>
        <w:rPr>
          <w:rFonts w:eastAsiaTheme="minorHAnsi"/>
          <w:szCs w:val="28"/>
          <w:lang w:val="lv-LV" w:eastAsia="en-US"/>
        </w:rPr>
      </w:pPr>
      <w:r w:rsidRPr="000B1DEB">
        <w:rPr>
          <w:rFonts w:eastAsiaTheme="minorHAnsi"/>
          <w:szCs w:val="28"/>
          <w:lang w:eastAsia="en-US"/>
        </w:rPr>
        <w:t>г</w:t>
      </w:r>
      <w:r w:rsidR="00E32E2D" w:rsidRPr="000B1DEB">
        <w:rPr>
          <w:rFonts w:eastAsiaTheme="minorHAnsi"/>
          <w:szCs w:val="28"/>
          <w:lang w:eastAsia="en-US"/>
        </w:rPr>
        <w:t>иперчувствительность</w:t>
      </w:r>
      <w:r w:rsidR="00E32E2D" w:rsidRPr="000B1DEB">
        <w:rPr>
          <w:rFonts w:eastAsiaTheme="minorHAnsi"/>
          <w:i/>
          <w:szCs w:val="28"/>
          <w:lang w:eastAsia="en-US"/>
        </w:rPr>
        <w:t xml:space="preserve"> </w:t>
      </w:r>
      <w:r w:rsidR="00E32E2D" w:rsidRPr="000B1DEB">
        <w:rPr>
          <w:rFonts w:eastAsiaTheme="minorHAnsi"/>
          <w:szCs w:val="28"/>
          <w:lang w:eastAsia="en-US"/>
        </w:rPr>
        <w:t>к действующему веществу или к любому из компонентов препарата</w:t>
      </w:r>
      <w:r w:rsidR="00E32E2D" w:rsidRPr="000B1DEB">
        <w:rPr>
          <w:rFonts w:eastAsiaTheme="minorHAnsi"/>
          <w:szCs w:val="28"/>
          <w:lang w:val="lv-LV" w:eastAsia="en-US"/>
        </w:rPr>
        <w:t>;</w:t>
      </w:r>
    </w:p>
    <w:p w:rsidR="00E32E2D" w:rsidRPr="000B1DEB" w:rsidRDefault="000F0685" w:rsidP="004D1FFF">
      <w:pPr>
        <w:widowControl/>
        <w:numPr>
          <w:ilvl w:val="0"/>
          <w:numId w:val="7"/>
        </w:numPr>
        <w:autoSpaceDE w:val="0"/>
        <w:autoSpaceDN w:val="0"/>
        <w:adjustRightInd w:val="0"/>
        <w:spacing w:after="200"/>
        <w:ind w:left="714" w:hanging="357"/>
        <w:contextualSpacing/>
        <w:rPr>
          <w:color w:val="000000"/>
          <w:szCs w:val="28"/>
          <w:lang w:eastAsia="uk-UA"/>
        </w:rPr>
      </w:pPr>
      <w:r w:rsidRPr="000B1DEB">
        <w:rPr>
          <w:color w:val="000000"/>
          <w:szCs w:val="28"/>
          <w:lang w:eastAsia="uk-UA"/>
        </w:rPr>
        <w:t>с</w:t>
      </w:r>
      <w:r w:rsidR="00E32E2D" w:rsidRPr="000B1DEB">
        <w:rPr>
          <w:color w:val="000000"/>
          <w:szCs w:val="28"/>
          <w:lang w:eastAsia="uk-UA"/>
        </w:rPr>
        <w:t>онливость</w:t>
      </w:r>
    </w:p>
    <w:p w:rsidR="00E32E2D" w:rsidRPr="000B1DEB" w:rsidRDefault="000F0685" w:rsidP="004D1FFF">
      <w:pPr>
        <w:widowControl/>
        <w:numPr>
          <w:ilvl w:val="0"/>
          <w:numId w:val="7"/>
        </w:numPr>
        <w:autoSpaceDE w:val="0"/>
        <w:autoSpaceDN w:val="0"/>
        <w:adjustRightInd w:val="0"/>
        <w:spacing w:after="200"/>
        <w:ind w:left="714" w:hanging="357"/>
        <w:contextualSpacing/>
        <w:rPr>
          <w:color w:val="000000"/>
          <w:szCs w:val="28"/>
          <w:lang w:eastAsia="uk-UA"/>
        </w:rPr>
      </w:pPr>
      <w:r w:rsidRPr="000B1DEB">
        <w:rPr>
          <w:rFonts w:eastAsiaTheme="minorHAnsi"/>
          <w:color w:val="000000"/>
          <w:szCs w:val="28"/>
          <w:lang w:eastAsia="uk-UA"/>
        </w:rPr>
        <w:t>г</w:t>
      </w:r>
      <w:r w:rsidR="00E32E2D" w:rsidRPr="000B1DEB">
        <w:rPr>
          <w:rFonts w:eastAsiaTheme="minorHAnsi"/>
          <w:color w:val="000000"/>
          <w:szCs w:val="28"/>
          <w:lang w:eastAsia="uk-UA"/>
        </w:rPr>
        <w:t>оловокружения</w:t>
      </w:r>
    </w:p>
    <w:p w:rsidR="00E32E2D" w:rsidRPr="000B1DEB" w:rsidRDefault="00E32E2D" w:rsidP="004D1FFF">
      <w:pPr>
        <w:widowControl/>
        <w:numPr>
          <w:ilvl w:val="0"/>
          <w:numId w:val="7"/>
        </w:numPr>
        <w:autoSpaceDE w:val="0"/>
        <w:autoSpaceDN w:val="0"/>
        <w:adjustRightInd w:val="0"/>
        <w:spacing w:after="200"/>
        <w:ind w:left="714" w:hanging="357"/>
        <w:contextualSpacing/>
        <w:rPr>
          <w:rFonts w:eastAsiaTheme="minorHAnsi"/>
          <w:color w:val="000000"/>
          <w:szCs w:val="28"/>
          <w:lang w:eastAsia="uk-UA"/>
        </w:rPr>
      </w:pPr>
      <w:r w:rsidRPr="000B1DEB">
        <w:rPr>
          <w:rFonts w:eastAsiaTheme="minorHAnsi"/>
          <w:color w:val="000000"/>
          <w:szCs w:val="28"/>
          <w:lang w:eastAsia="uk-UA"/>
        </w:rPr>
        <w:t>нарушение равновесия</w:t>
      </w:r>
    </w:p>
    <w:p w:rsidR="00E32E2D" w:rsidRPr="000B1DEB" w:rsidRDefault="000F0685" w:rsidP="004D1FFF">
      <w:pPr>
        <w:widowControl/>
        <w:numPr>
          <w:ilvl w:val="0"/>
          <w:numId w:val="7"/>
        </w:numPr>
        <w:autoSpaceDE w:val="0"/>
        <w:autoSpaceDN w:val="0"/>
        <w:adjustRightInd w:val="0"/>
        <w:spacing w:after="200"/>
        <w:ind w:left="714" w:hanging="357"/>
        <w:contextualSpacing/>
        <w:rPr>
          <w:color w:val="000000"/>
          <w:szCs w:val="28"/>
          <w:lang w:eastAsia="uk-UA"/>
        </w:rPr>
      </w:pPr>
      <w:r w:rsidRPr="000B1DEB">
        <w:rPr>
          <w:color w:val="000000"/>
          <w:szCs w:val="28"/>
          <w:lang w:eastAsia="uk-UA"/>
        </w:rPr>
        <w:t>г</w:t>
      </w:r>
      <w:r w:rsidR="00E32E2D" w:rsidRPr="000B1DEB">
        <w:rPr>
          <w:color w:val="000000"/>
          <w:szCs w:val="28"/>
          <w:lang w:eastAsia="uk-UA"/>
        </w:rPr>
        <w:t>ипертензия</w:t>
      </w:r>
    </w:p>
    <w:p w:rsidR="00E32E2D" w:rsidRPr="000B1DEB" w:rsidRDefault="000F0685" w:rsidP="004D1FFF">
      <w:pPr>
        <w:widowControl/>
        <w:numPr>
          <w:ilvl w:val="0"/>
          <w:numId w:val="7"/>
        </w:numPr>
        <w:autoSpaceDE w:val="0"/>
        <w:autoSpaceDN w:val="0"/>
        <w:adjustRightInd w:val="0"/>
        <w:spacing w:after="200"/>
        <w:ind w:left="714" w:hanging="357"/>
        <w:contextualSpacing/>
        <w:rPr>
          <w:color w:val="000000"/>
          <w:szCs w:val="28"/>
          <w:lang w:eastAsia="uk-UA"/>
        </w:rPr>
      </w:pPr>
      <w:r w:rsidRPr="000B1DEB">
        <w:rPr>
          <w:color w:val="000000"/>
          <w:szCs w:val="28"/>
          <w:lang w:eastAsia="uk-UA"/>
        </w:rPr>
        <w:t>о</w:t>
      </w:r>
      <w:r w:rsidR="00E32E2D" w:rsidRPr="000B1DEB">
        <w:rPr>
          <w:color w:val="000000"/>
          <w:szCs w:val="28"/>
          <w:lang w:eastAsia="uk-UA"/>
        </w:rPr>
        <w:t>дышка</w:t>
      </w:r>
    </w:p>
    <w:p w:rsidR="00E32E2D" w:rsidRPr="000B1DEB" w:rsidRDefault="000F0685" w:rsidP="004D1FFF">
      <w:pPr>
        <w:widowControl/>
        <w:numPr>
          <w:ilvl w:val="0"/>
          <w:numId w:val="7"/>
        </w:numPr>
        <w:autoSpaceDE w:val="0"/>
        <w:autoSpaceDN w:val="0"/>
        <w:adjustRightInd w:val="0"/>
        <w:spacing w:after="200"/>
        <w:ind w:left="714" w:hanging="357"/>
        <w:contextualSpacing/>
        <w:rPr>
          <w:color w:val="000000"/>
          <w:szCs w:val="28"/>
          <w:lang w:eastAsia="uk-UA"/>
        </w:rPr>
      </w:pPr>
      <w:r w:rsidRPr="000B1DEB">
        <w:rPr>
          <w:color w:val="000000"/>
          <w:szCs w:val="28"/>
          <w:lang w:eastAsia="uk-UA"/>
        </w:rPr>
        <w:t>з</w:t>
      </w:r>
      <w:r w:rsidR="00E32E2D" w:rsidRPr="000B1DEB">
        <w:rPr>
          <w:color w:val="000000"/>
          <w:szCs w:val="28"/>
          <w:lang w:eastAsia="uk-UA"/>
        </w:rPr>
        <w:t>апор</w:t>
      </w:r>
    </w:p>
    <w:p w:rsidR="00E32E2D" w:rsidRPr="000B1DEB" w:rsidRDefault="000F0685" w:rsidP="004D1FFF">
      <w:pPr>
        <w:widowControl/>
        <w:numPr>
          <w:ilvl w:val="0"/>
          <w:numId w:val="7"/>
        </w:numPr>
        <w:autoSpaceDE w:val="0"/>
        <w:autoSpaceDN w:val="0"/>
        <w:adjustRightInd w:val="0"/>
        <w:spacing w:after="200"/>
        <w:contextualSpacing/>
        <w:rPr>
          <w:color w:val="000000"/>
          <w:szCs w:val="28"/>
          <w:lang w:eastAsia="uk-UA"/>
        </w:rPr>
      </w:pPr>
      <w:r w:rsidRPr="000B1DEB">
        <w:rPr>
          <w:color w:val="000000"/>
          <w:szCs w:val="28"/>
          <w:lang w:eastAsia="uk-UA"/>
        </w:rPr>
        <w:lastRenderedPageBreak/>
        <w:t>п</w:t>
      </w:r>
      <w:r w:rsidR="00E32E2D" w:rsidRPr="000B1DEB">
        <w:rPr>
          <w:color w:val="000000"/>
          <w:szCs w:val="28"/>
          <w:lang w:eastAsia="uk-UA"/>
        </w:rPr>
        <w:t>овышение показателей функции печени</w:t>
      </w:r>
    </w:p>
    <w:p w:rsidR="00E32E2D" w:rsidRPr="000B1DEB" w:rsidRDefault="000F0685" w:rsidP="004D1FFF">
      <w:pPr>
        <w:widowControl/>
        <w:numPr>
          <w:ilvl w:val="0"/>
          <w:numId w:val="7"/>
        </w:numPr>
        <w:autoSpaceDE w:val="0"/>
        <w:autoSpaceDN w:val="0"/>
        <w:adjustRightInd w:val="0"/>
        <w:spacing w:after="200"/>
        <w:contextualSpacing/>
        <w:rPr>
          <w:color w:val="000000"/>
          <w:szCs w:val="28"/>
          <w:lang w:eastAsia="uk-UA"/>
        </w:rPr>
      </w:pPr>
      <w:r w:rsidRPr="000B1DEB">
        <w:rPr>
          <w:color w:val="000000"/>
          <w:szCs w:val="28"/>
          <w:lang w:eastAsia="uk-UA"/>
        </w:rPr>
        <w:t>г</w:t>
      </w:r>
      <w:r w:rsidR="00E32E2D" w:rsidRPr="000B1DEB">
        <w:rPr>
          <w:color w:val="000000"/>
          <w:szCs w:val="28"/>
          <w:lang w:eastAsia="uk-UA"/>
        </w:rPr>
        <w:t>оловная боль</w:t>
      </w:r>
    </w:p>
    <w:p w:rsidR="00E32E2D" w:rsidRPr="000B1DEB" w:rsidRDefault="00E45EC6" w:rsidP="00E32E2D">
      <w:pPr>
        <w:widowControl/>
        <w:spacing w:line="276" w:lineRule="auto"/>
        <w:jc w:val="both"/>
        <w:rPr>
          <w:i/>
          <w:color w:val="000000"/>
          <w:szCs w:val="28"/>
          <w:lang w:val="lv-LV" w:eastAsia="uk-UA"/>
        </w:rPr>
      </w:pPr>
      <w:r w:rsidRPr="000B1DEB">
        <w:rPr>
          <w:i/>
          <w:color w:val="000000"/>
          <w:szCs w:val="28"/>
          <w:lang w:eastAsia="uk-UA"/>
        </w:rPr>
        <w:t>Нечасто</w:t>
      </w:r>
      <w:r w:rsidR="009674FE" w:rsidRPr="000B1DEB">
        <w:rPr>
          <w:i/>
          <w:color w:val="000000"/>
          <w:szCs w:val="28"/>
          <w:lang w:val="lv-LV" w:eastAsia="uk-UA"/>
        </w:rPr>
        <w:t xml:space="preserve"> </w:t>
      </w:r>
      <w:r w:rsidR="009674FE" w:rsidRPr="000B1DEB">
        <w:rPr>
          <w:i/>
          <w:szCs w:val="28"/>
        </w:rPr>
        <w:t>(≥ 1/1 000 до &lt; 1/100)</w:t>
      </w:r>
    </w:p>
    <w:p w:rsidR="00E32E2D" w:rsidRPr="000B1DEB" w:rsidRDefault="00CE7F00" w:rsidP="004D1FFF">
      <w:pPr>
        <w:widowControl/>
        <w:numPr>
          <w:ilvl w:val="0"/>
          <w:numId w:val="8"/>
        </w:numPr>
        <w:spacing w:after="200"/>
        <w:ind w:left="714" w:hanging="357"/>
        <w:contextualSpacing/>
        <w:jc w:val="both"/>
        <w:rPr>
          <w:rFonts w:eastAsiaTheme="minorHAnsi"/>
          <w:szCs w:val="28"/>
          <w:lang w:eastAsia="en-US"/>
        </w:rPr>
      </w:pPr>
      <w:r w:rsidRPr="000B1DEB">
        <w:rPr>
          <w:rFonts w:eastAsiaTheme="minorHAnsi"/>
          <w:szCs w:val="28"/>
          <w:lang w:eastAsia="en-US"/>
        </w:rPr>
        <w:t>г</w:t>
      </w:r>
      <w:r w:rsidR="00E32E2D" w:rsidRPr="000B1DEB">
        <w:rPr>
          <w:rFonts w:eastAsiaTheme="minorHAnsi"/>
          <w:szCs w:val="28"/>
          <w:lang w:eastAsia="en-US"/>
        </w:rPr>
        <w:t>рибковые инфекции</w:t>
      </w:r>
    </w:p>
    <w:p w:rsidR="00E32E2D" w:rsidRPr="000B1DEB" w:rsidRDefault="00CE7F00" w:rsidP="004D1FFF">
      <w:pPr>
        <w:widowControl/>
        <w:numPr>
          <w:ilvl w:val="0"/>
          <w:numId w:val="8"/>
        </w:numPr>
        <w:spacing w:after="200"/>
        <w:ind w:left="714" w:hanging="357"/>
        <w:contextualSpacing/>
        <w:jc w:val="both"/>
        <w:rPr>
          <w:rFonts w:eastAsiaTheme="minorHAnsi"/>
          <w:szCs w:val="28"/>
          <w:lang w:eastAsia="en-US"/>
        </w:rPr>
      </w:pPr>
      <w:r w:rsidRPr="000B1DEB">
        <w:rPr>
          <w:rFonts w:eastAsiaTheme="minorHAnsi"/>
          <w:szCs w:val="28"/>
          <w:lang w:eastAsia="en-US"/>
        </w:rPr>
        <w:t>с</w:t>
      </w:r>
      <w:r w:rsidR="00E32E2D" w:rsidRPr="000B1DEB">
        <w:rPr>
          <w:rFonts w:eastAsiaTheme="minorHAnsi"/>
          <w:szCs w:val="28"/>
          <w:lang w:eastAsia="en-US"/>
        </w:rPr>
        <w:t>путанность сознания</w:t>
      </w:r>
    </w:p>
    <w:p w:rsidR="00E32E2D" w:rsidRPr="000B1DEB" w:rsidRDefault="00CE7F00" w:rsidP="004D1FFF">
      <w:pPr>
        <w:widowControl/>
        <w:numPr>
          <w:ilvl w:val="0"/>
          <w:numId w:val="8"/>
        </w:numPr>
        <w:spacing w:after="200"/>
        <w:ind w:left="714" w:hanging="357"/>
        <w:contextualSpacing/>
        <w:jc w:val="both"/>
        <w:rPr>
          <w:rFonts w:eastAsiaTheme="minorHAnsi"/>
          <w:szCs w:val="28"/>
          <w:lang w:eastAsia="en-US"/>
        </w:rPr>
      </w:pPr>
      <w:r w:rsidRPr="000B1DEB">
        <w:rPr>
          <w:rFonts w:eastAsiaTheme="minorHAnsi"/>
          <w:szCs w:val="28"/>
          <w:lang w:eastAsia="en-US"/>
        </w:rPr>
        <w:t>г</w:t>
      </w:r>
      <w:r w:rsidR="00E32E2D" w:rsidRPr="000B1DEB">
        <w:rPr>
          <w:rFonts w:eastAsiaTheme="minorHAnsi"/>
          <w:szCs w:val="28"/>
          <w:lang w:eastAsia="en-US"/>
        </w:rPr>
        <w:t>аллюцинации</w:t>
      </w:r>
    </w:p>
    <w:p w:rsidR="00E32E2D" w:rsidRPr="000B1DEB" w:rsidRDefault="00CE7F00" w:rsidP="004D1FFF">
      <w:pPr>
        <w:widowControl/>
        <w:numPr>
          <w:ilvl w:val="0"/>
          <w:numId w:val="8"/>
        </w:numPr>
        <w:spacing w:after="200"/>
        <w:ind w:left="714" w:hanging="357"/>
        <w:contextualSpacing/>
        <w:jc w:val="both"/>
        <w:rPr>
          <w:szCs w:val="28"/>
        </w:rPr>
      </w:pPr>
      <w:r w:rsidRPr="000B1DEB">
        <w:rPr>
          <w:szCs w:val="28"/>
        </w:rPr>
        <w:t>н</w:t>
      </w:r>
      <w:r w:rsidR="00E32E2D" w:rsidRPr="000B1DEB">
        <w:rPr>
          <w:szCs w:val="28"/>
        </w:rPr>
        <w:t>арушения походки</w:t>
      </w:r>
    </w:p>
    <w:p w:rsidR="00E32E2D" w:rsidRPr="000B1DEB" w:rsidRDefault="00CE7F00" w:rsidP="004D1FFF">
      <w:pPr>
        <w:widowControl/>
        <w:numPr>
          <w:ilvl w:val="0"/>
          <w:numId w:val="8"/>
        </w:numPr>
        <w:spacing w:after="200"/>
        <w:ind w:left="714" w:hanging="357"/>
        <w:contextualSpacing/>
        <w:jc w:val="both"/>
        <w:rPr>
          <w:szCs w:val="28"/>
        </w:rPr>
      </w:pPr>
      <w:r w:rsidRPr="000B1DEB">
        <w:rPr>
          <w:szCs w:val="28"/>
        </w:rPr>
        <w:t>с</w:t>
      </w:r>
      <w:r w:rsidR="00E32E2D" w:rsidRPr="000B1DEB">
        <w:rPr>
          <w:szCs w:val="28"/>
        </w:rPr>
        <w:t>ердечная недостаточность</w:t>
      </w:r>
    </w:p>
    <w:p w:rsidR="00E32E2D" w:rsidRPr="000B1DEB" w:rsidRDefault="00CE7F00" w:rsidP="004D1FFF">
      <w:pPr>
        <w:widowControl/>
        <w:numPr>
          <w:ilvl w:val="0"/>
          <w:numId w:val="8"/>
        </w:numPr>
        <w:spacing w:after="200"/>
        <w:ind w:left="714" w:hanging="357"/>
        <w:contextualSpacing/>
        <w:jc w:val="both"/>
        <w:rPr>
          <w:szCs w:val="28"/>
        </w:rPr>
      </w:pPr>
      <w:r w:rsidRPr="000B1DEB">
        <w:rPr>
          <w:szCs w:val="28"/>
        </w:rPr>
        <w:t>в</w:t>
      </w:r>
      <w:r w:rsidR="00E32E2D" w:rsidRPr="000B1DEB">
        <w:rPr>
          <w:szCs w:val="28"/>
        </w:rPr>
        <w:t>енозный тромбоз/тромбоэмболия</w:t>
      </w:r>
    </w:p>
    <w:p w:rsidR="00E32E2D" w:rsidRPr="000B1DEB" w:rsidRDefault="00CE7F00" w:rsidP="004D1FFF">
      <w:pPr>
        <w:widowControl/>
        <w:numPr>
          <w:ilvl w:val="0"/>
          <w:numId w:val="8"/>
        </w:numPr>
        <w:spacing w:after="200"/>
        <w:ind w:left="714" w:hanging="357"/>
        <w:contextualSpacing/>
        <w:jc w:val="both"/>
        <w:rPr>
          <w:szCs w:val="28"/>
        </w:rPr>
      </w:pPr>
      <w:r w:rsidRPr="000B1DEB">
        <w:rPr>
          <w:szCs w:val="28"/>
        </w:rPr>
        <w:t>р</w:t>
      </w:r>
      <w:r w:rsidR="00E32E2D" w:rsidRPr="000B1DEB">
        <w:rPr>
          <w:szCs w:val="28"/>
        </w:rPr>
        <w:t>вота</w:t>
      </w:r>
    </w:p>
    <w:p w:rsidR="00E32E2D" w:rsidRPr="000B1DEB" w:rsidRDefault="00CE7F00" w:rsidP="004D1FFF">
      <w:pPr>
        <w:widowControl/>
        <w:numPr>
          <w:ilvl w:val="0"/>
          <w:numId w:val="8"/>
        </w:numPr>
        <w:spacing w:after="200"/>
        <w:ind w:left="714" w:hanging="357"/>
        <w:contextualSpacing/>
        <w:jc w:val="both"/>
        <w:rPr>
          <w:szCs w:val="28"/>
        </w:rPr>
      </w:pPr>
      <w:r w:rsidRPr="000B1DEB">
        <w:rPr>
          <w:szCs w:val="28"/>
        </w:rPr>
        <w:t>п</w:t>
      </w:r>
      <w:r w:rsidR="00E32E2D" w:rsidRPr="000B1DEB">
        <w:rPr>
          <w:szCs w:val="28"/>
        </w:rPr>
        <w:t>овышенная утомляемость</w:t>
      </w:r>
    </w:p>
    <w:p w:rsidR="00E32E2D" w:rsidRPr="000B1DEB" w:rsidRDefault="00E32E2D" w:rsidP="00E32E2D">
      <w:pPr>
        <w:widowControl/>
        <w:spacing w:line="280" w:lineRule="exact"/>
        <w:jc w:val="both"/>
        <w:rPr>
          <w:i/>
          <w:szCs w:val="28"/>
          <w:lang w:val="lv-LV"/>
        </w:rPr>
      </w:pPr>
      <w:r w:rsidRPr="000B1DEB">
        <w:rPr>
          <w:i/>
          <w:szCs w:val="28"/>
          <w:lang w:val="lv-LV"/>
        </w:rPr>
        <w:t>Очень редко</w:t>
      </w:r>
      <w:r w:rsidR="004E557B" w:rsidRPr="000B1DEB">
        <w:rPr>
          <w:i/>
          <w:szCs w:val="28"/>
          <w:lang w:val="lv-LV"/>
        </w:rPr>
        <w:t xml:space="preserve"> </w:t>
      </w:r>
      <w:r w:rsidR="004E557B" w:rsidRPr="000B1DEB">
        <w:rPr>
          <w:i/>
          <w:szCs w:val="28"/>
        </w:rPr>
        <w:t>(&lt; 1/1 0000)</w:t>
      </w:r>
    </w:p>
    <w:p w:rsidR="00E32E2D" w:rsidRPr="000B1DEB" w:rsidRDefault="00F62F00" w:rsidP="004D1FFF">
      <w:pPr>
        <w:widowControl/>
        <w:numPr>
          <w:ilvl w:val="0"/>
          <w:numId w:val="9"/>
        </w:numPr>
        <w:spacing w:after="200" w:line="280" w:lineRule="exact"/>
        <w:contextualSpacing/>
        <w:jc w:val="both"/>
        <w:rPr>
          <w:szCs w:val="28"/>
        </w:rPr>
      </w:pPr>
      <w:r w:rsidRPr="000B1DEB">
        <w:rPr>
          <w:szCs w:val="28"/>
          <w:lang w:val="lv-LV"/>
        </w:rPr>
        <w:t>c</w:t>
      </w:r>
      <w:r w:rsidR="00E32E2D" w:rsidRPr="000B1DEB">
        <w:rPr>
          <w:szCs w:val="28"/>
          <w:lang w:val="lv-LV"/>
        </w:rPr>
        <w:t>удороги</w:t>
      </w:r>
    </w:p>
    <w:p w:rsidR="00E32E2D" w:rsidRPr="004D1FFF" w:rsidRDefault="00E32E2D" w:rsidP="00E32E2D">
      <w:pPr>
        <w:widowControl/>
        <w:spacing w:line="280" w:lineRule="exact"/>
        <w:jc w:val="both"/>
        <w:rPr>
          <w:i/>
          <w:szCs w:val="28"/>
          <w:lang w:val="lv-LV"/>
        </w:rPr>
      </w:pPr>
      <w:r w:rsidRPr="000B1DEB">
        <w:rPr>
          <w:i/>
          <w:szCs w:val="28"/>
        </w:rPr>
        <w:t xml:space="preserve">Частота неизвестна </w:t>
      </w:r>
    </w:p>
    <w:p w:rsidR="00E32E2D" w:rsidRPr="000B1DEB" w:rsidRDefault="00F62F00" w:rsidP="004D1FFF">
      <w:pPr>
        <w:widowControl/>
        <w:numPr>
          <w:ilvl w:val="0"/>
          <w:numId w:val="10"/>
        </w:numPr>
        <w:spacing w:after="200" w:line="280" w:lineRule="exact"/>
        <w:contextualSpacing/>
        <w:jc w:val="both"/>
        <w:rPr>
          <w:szCs w:val="28"/>
        </w:rPr>
      </w:pPr>
      <w:r w:rsidRPr="000B1DEB">
        <w:rPr>
          <w:szCs w:val="28"/>
        </w:rPr>
        <w:t>п</w:t>
      </w:r>
      <w:r w:rsidR="00E32E2D" w:rsidRPr="000B1DEB">
        <w:rPr>
          <w:szCs w:val="28"/>
        </w:rPr>
        <w:t>сихотические реакции</w:t>
      </w:r>
    </w:p>
    <w:p w:rsidR="00E32E2D" w:rsidRPr="000B1DEB" w:rsidRDefault="00F62F00" w:rsidP="004D1FFF">
      <w:pPr>
        <w:widowControl/>
        <w:numPr>
          <w:ilvl w:val="0"/>
          <w:numId w:val="10"/>
        </w:numPr>
        <w:spacing w:after="200" w:line="280" w:lineRule="exact"/>
        <w:contextualSpacing/>
        <w:jc w:val="both"/>
        <w:rPr>
          <w:szCs w:val="28"/>
        </w:rPr>
      </w:pPr>
      <w:r w:rsidRPr="000B1DEB">
        <w:rPr>
          <w:szCs w:val="28"/>
        </w:rPr>
        <w:t>п</w:t>
      </w:r>
      <w:r w:rsidR="00E32E2D" w:rsidRPr="000B1DEB">
        <w:rPr>
          <w:szCs w:val="28"/>
        </w:rPr>
        <w:t>анкреатит</w:t>
      </w:r>
    </w:p>
    <w:p w:rsidR="00E32E2D" w:rsidRPr="000B1DEB" w:rsidRDefault="00F62F00" w:rsidP="004D1FFF">
      <w:pPr>
        <w:widowControl/>
        <w:numPr>
          <w:ilvl w:val="0"/>
          <w:numId w:val="10"/>
        </w:numPr>
        <w:spacing w:after="200" w:line="280" w:lineRule="exact"/>
        <w:contextualSpacing/>
        <w:jc w:val="both"/>
        <w:rPr>
          <w:szCs w:val="28"/>
        </w:rPr>
      </w:pPr>
      <w:r w:rsidRPr="000B1DEB">
        <w:rPr>
          <w:szCs w:val="28"/>
        </w:rPr>
        <w:t>г</w:t>
      </w:r>
      <w:r w:rsidR="00E32E2D" w:rsidRPr="000B1DEB">
        <w:rPr>
          <w:szCs w:val="28"/>
        </w:rPr>
        <w:t>епатит</w:t>
      </w:r>
    </w:p>
    <w:p w:rsidR="0008395E" w:rsidRPr="000B1DEB" w:rsidRDefault="0008395E" w:rsidP="001B76DD">
      <w:pPr>
        <w:widowControl/>
        <w:jc w:val="both"/>
        <w:rPr>
          <w:szCs w:val="28"/>
          <w:lang w:eastAsia="en-US"/>
        </w:rPr>
      </w:pPr>
    </w:p>
    <w:p w:rsidR="001B76DD" w:rsidRPr="000B1DEB" w:rsidRDefault="001B76DD" w:rsidP="001B76DD">
      <w:pPr>
        <w:widowControl/>
        <w:jc w:val="both"/>
        <w:rPr>
          <w:szCs w:val="28"/>
          <w:lang w:eastAsia="en-US"/>
        </w:rPr>
      </w:pPr>
      <w:r w:rsidRPr="000B1DEB">
        <w:rPr>
          <w:szCs w:val="28"/>
          <w:lang w:eastAsia="en-US"/>
        </w:rPr>
        <w:t>Болезнь Альцгеймера связана с депрессией, склонностью к самоубийству и попытками самоубийства. В пострегистрационный период сообщалось о таких случаях у пациентов, которые применяли мемантин.</w:t>
      </w:r>
    </w:p>
    <w:p w:rsidR="00E333AE" w:rsidRPr="000B1DEB" w:rsidRDefault="00E333AE" w:rsidP="00F77BB5">
      <w:pPr>
        <w:rPr>
          <w:szCs w:val="28"/>
        </w:rPr>
      </w:pPr>
    </w:p>
    <w:p w:rsidR="00E6221E" w:rsidRPr="000B1DEB" w:rsidRDefault="00E6221E" w:rsidP="00E333AE">
      <w:pPr>
        <w:jc w:val="both"/>
        <w:rPr>
          <w:b/>
          <w:color w:val="000000"/>
          <w:szCs w:val="28"/>
          <w:lang w:val="lv-LV"/>
        </w:rPr>
      </w:pPr>
      <w:r w:rsidRPr="000B1DEB">
        <w:rPr>
          <w:b/>
          <w:color w:val="000000"/>
          <w:szCs w:val="28"/>
        </w:rPr>
        <w:t>Противопоказания</w:t>
      </w:r>
      <w:r w:rsidRPr="000B1DEB">
        <w:rPr>
          <w:b/>
          <w:color w:val="000000"/>
          <w:szCs w:val="28"/>
          <w:lang w:val="lv-LV"/>
        </w:rPr>
        <w:t>:</w:t>
      </w:r>
    </w:p>
    <w:p w:rsidR="00E333AE" w:rsidRPr="000B1DEB" w:rsidRDefault="00E6221E" w:rsidP="00E6221E">
      <w:pPr>
        <w:pStyle w:val="a4"/>
        <w:numPr>
          <w:ilvl w:val="0"/>
          <w:numId w:val="6"/>
        </w:numPr>
        <w:rPr>
          <w:szCs w:val="28"/>
        </w:rPr>
      </w:pPr>
      <w:r w:rsidRPr="000B1DEB">
        <w:rPr>
          <w:color w:val="000000"/>
          <w:szCs w:val="28"/>
        </w:rPr>
        <w:t>п</w:t>
      </w:r>
      <w:r w:rsidR="000A18BF" w:rsidRPr="000B1DEB">
        <w:rPr>
          <w:color w:val="000000"/>
          <w:szCs w:val="28"/>
          <w:lang w:val="lv-LV"/>
        </w:rPr>
        <w:t>овышенная чу</w:t>
      </w:r>
      <w:r w:rsidR="000A18BF" w:rsidRPr="000B1DEB">
        <w:rPr>
          <w:color w:val="000000"/>
          <w:szCs w:val="28"/>
        </w:rPr>
        <w:t>вствительность к активному веществу или</w:t>
      </w:r>
      <w:r w:rsidR="000A18BF" w:rsidRPr="000B1DEB">
        <w:rPr>
          <w:color w:val="000000"/>
          <w:szCs w:val="28"/>
          <w:lang w:val="lv-LV"/>
        </w:rPr>
        <w:t xml:space="preserve"> </w:t>
      </w:r>
      <w:r w:rsidR="000A18BF" w:rsidRPr="000B1DEB">
        <w:rPr>
          <w:color w:val="000000"/>
          <w:szCs w:val="28"/>
        </w:rPr>
        <w:t>к любому вспомогательному веществу</w:t>
      </w:r>
      <w:r w:rsidR="005B64D6" w:rsidRPr="000B1DEB">
        <w:rPr>
          <w:color w:val="000000"/>
          <w:szCs w:val="28"/>
        </w:rPr>
        <w:t xml:space="preserve"> препарата</w:t>
      </w:r>
      <w:r w:rsidR="003C63BB" w:rsidRPr="000B1DEB">
        <w:rPr>
          <w:color w:val="000000"/>
          <w:szCs w:val="28"/>
          <w:lang w:val="lv-LV"/>
        </w:rPr>
        <w:t>;</w:t>
      </w:r>
    </w:p>
    <w:p w:rsidR="00E6221E" w:rsidRPr="000B1DEB" w:rsidRDefault="00E6221E" w:rsidP="00E6221E">
      <w:pPr>
        <w:pStyle w:val="a4"/>
        <w:numPr>
          <w:ilvl w:val="0"/>
          <w:numId w:val="6"/>
        </w:numPr>
        <w:rPr>
          <w:szCs w:val="28"/>
        </w:rPr>
      </w:pPr>
      <w:r w:rsidRPr="000B1DEB">
        <w:rPr>
          <w:szCs w:val="28"/>
        </w:rPr>
        <w:t>беременность и период лактации</w:t>
      </w:r>
      <w:r w:rsidR="003C63BB" w:rsidRPr="000B1DEB">
        <w:rPr>
          <w:szCs w:val="28"/>
          <w:lang w:val="lv-LV"/>
        </w:rPr>
        <w:t>;</w:t>
      </w:r>
    </w:p>
    <w:p w:rsidR="00B92DBB" w:rsidRPr="000B1DEB" w:rsidRDefault="00E6221E" w:rsidP="00E333AE">
      <w:pPr>
        <w:pStyle w:val="a4"/>
        <w:numPr>
          <w:ilvl w:val="0"/>
          <w:numId w:val="6"/>
        </w:numPr>
        <w:jc w:val="both"/>
        <w:rPr>
          <w:szCs w:val="28"/>
        </w:rPr>
      </w:pPr>
      <w:r w:rsidRPr="000B1DEB">
        <w:rPr>
          <w:szCs w:val="28"/>
        </w:rPr>
        <w:t>детский и подростковый возраст до 18 лет</w:t>
      </w:r>
      <w:r w:rsidR="00B92DBB" w:rsidRPr="000B1DEB">
        <w:rPr>
          <w:szCs w:val="28"/>
          <w:lang w:val="lv-LV"/>
        </w:rPr>
        <w:t>;</w:t>
      </w:r>
    </w:p>
    <w:p w:rsidR="001944EC" w:rsidRPr="000B1DEB" w:rsidRDefault="00B92DBB" w:rsidP="003C199E">
      <w:pPr>
        <w:numPr>
          <w:ilvl w:val="0"/>
          <w:numId w:val="6"/>
        </w:numPr>
        <w:tabs>
          <w:tab w:val="left" w:pos="-142"/>
          <w:tab w:val="left" w:pos="284"/>
          <w:tab w:val="left" w:pos="426"/>
          <w:tab w:val="left" w:pos="4111"/>
          <w:tab w:val="left" w:pos="9071"/>
          <w:tab w:val="left" w:pos="10348"/>
        </w:tabs>
        <w:ind w:right="-143"/>
        <w:jc w:val="both"/>
        <w:rPr>
          <w:b/>
          <w:color w:val="000000"/>
          <w:szCs w:val="28"/>
          <w:lang w:val="lv-LV"/>
        </w:rPr>
      </w:pPr>
      <w:r w:rsidRPr="000B1DEB">
        <w:rPr>
          <w:color w:val="000000"/>
          <w:szCs w:val="28"/>
        </w:rPr>
        <w:t xml:space="preserve">лица с наследственной непереносимостью фруктозы, дефицитом фермента </w:t>
      </w:r>
      <w:proofErr w:type="spellStart"/>
      <w:r w:rsidRPr="000B1DEB">
        <w:rPr>
          <w:color w:val="000000"/>
          <w:szCs w:val="28"/>
        </w:rPr>
        <w:t>Lapp-лактазы</w:t>
      </w:r>
      <w:proofErr w:type="spellEnd"/>
      <w:r w:rsidRPr="000B1DEB">
        <w:rPr>
          <w:color w:val="000000"/>
          <w:szCs w:val="28"/>
        </w:rPr>
        <w:t xml:space="preserve">, </w:t>
      </w:r>
      <w:proofErr w:type="spellStart"/>
      <w:r w:rsidRPr="000B1DEB">
        <w:rPr>
          <w:color w:val="000000"/>
          <w:szCs w:val="28"/>
        </w:rPr>
        <w:t>мальабсорбцией</w:t>
      </w:r>
      <w:proofErr w:type="spellEnd"/>
      <w:r w:rsidRPr="000B1DEB">
        <w:rPr>
          <w:color w:val="000000"/>
          <w:szCs w:val="28"/>
        </w:rPr>
        <w:t xml:space="preserve"> глюкозы-галактозы</w:t>
      </w:r>
      <w:r w:rsidRPr="000B1DEB">
        <w:rPr>
          <w:b/>
          <w:color w:val="000000"/>
          <w:szCs w:val="28"/>
          <w:lang w:val="lv-LV"/>
        </w:rPr>
        <w:t>.</w:t>
      </w:r>
    </w:p>
    <w:p w:rsidR="00DB165E" w:rsidRPr="000B1DEB" w:rsidRDefault="00DB165E" w:rsidP="001944EC">
      <w:pPr>
        <w:tabs>
          <w:tab w:val="left" w:pos="5409"/>
        </w:tabs>
        <w:jc w:val="both"/>
        <w:rPr>
          <w:b/>
          <w:color w:val="000000"/>
          <w:szCs w:val="28"/>
        </w:rPr>
      </w:pPr>
    </w:p>
    <w:p w:rsidR="00E333AE" w:rsidRPr="000B1DEB" w:rsidRDefault="00E333AE" w:rsidP="001944EC">
      <w:pPr>
        <w:tabs>
          <w:tab w:val="left" w:pos="5409"/>
        </w:tabs>
        <w:jc w:val="both"/>
        <w:rPr>
          <w:b/>
          <w:color w:val="000000"/>
          <w:szCs w:val="28"/>
        </w:rPr>
      </w:pPr>
      <w:r w:rsidRPr="000B1DEB">
        <w:rPr>
          <w:b/>
          <w:color w:val="000000"/>
          <w:szCs w:val="28"/>
        </w:rPr>
        <w:t>Лекарственные взаимодействия</w:t>
      </w:r>
      <w:r w:rsidR="001944EC" w:rsidRPr="000B1DEB">
        <w:rPr>
          <w:b/>
          <w:color w:val="000000"/>
          <w:szCs w:val="28"/>
        </w:rPr>
        <w:tab/>
      </w:r>
    </w:p>
    <w:p w:rsidR="00E333AE" w:rsidRPr="000B1DEB" w:rsidRDefault="00E333AE" w:rsidP="00E333AE">
      <w:pPr>
        <w:pStyle w:val="a3"/>
        <w:widowControl w:val="0"/>
        <w:jc w:val="both"/>
        <w:rPr>
          <w:b/>
          <w:i/>
          <w:sz w:val="28"/>
          <w:szCs w:val="28"/>
          <w:lang w:val="ru-RU"/>
        </w:rPr>
      </w:pPr>
      <w:bookmarkStart w:id="0" w:name="_GoBack"/>
      <w:r w:rsidRPr="000B1DEB">
        <w:rPr>
          <w:b/>
          <w:i/>
          <w:sz w:val="28"/>
          <w:szCs w:val="28"/>
          <w:lang w:val="ru-RU"/>
        </w:rPr>
        <w:t>Фармакодинамические взаимодействия</w:t>
      </w:r>
    </w:p>
    <w:bookmarkEnd w:id="0"/>
    <w:p w:rsidR="004D15E0" w:rsidRPr="000B1DEB" w:rsidRDefault="004D15E0" w:rsidP="004D15E0">
      <w:pPr>
        <w:widowControl/>
        <w:jc w:val="both"/>
        <w:rPr>
          <w:szCs w:val="28"/>
          <w:lang w:eastAsia="lv-LV"/>
        </w:rPr>
      </w:pPr>
      <w:r w:rsidRPr="000B1DEB">
        <w:rPr>
          <w:szCs w:val="28"/>
          <w:lang w:eastAsia="lv-LV"/>
        </w:rPr>
        <w:t>В связи с фармакологическим действием и механизмом действия мемантина возможно такое взаимодействие:</w:t>
      </w:r>
    </w:p>
    <w:p w:rsidR="004D15E0" w:rsidRPr="000B1DEB" w:rsidRDefault="004D15E0" w:rsidP="004D15E0">
      <w:pPr>
        <w:widowControl/>
        <w:numPr>
          <w:ilvl w:val="0"/>
          <w:numId w:val="1"/>
        </w:numPr>
        <w:ind w:left="426" w:hanging="426"/>
        <w:jc w:val="both"/>
        <w:rPr>
          <w:szCs w:val="28"/>
          <w:lang w:eastAsia="lv-LV"/>
        </w:rPr>
      </w:pPr>
      <w:r w:rsidRPr="000B1DEB">
        <w:rPr>
          <w:szCs w:val="28"/>
          <w:lang w:eastAsia="lv-LV"/>
        </w:rPr>
        <w:t xml:space="preserve">Механизм действия указывает, что действие </w:t>
      </w:r>
      <w:r w:rsidRPr="000B1DEB">
        <w:rPr>
          <w:szCs w:val="28"/>
          <w:lang w:val="lv-LV" w:eastAsia="lv-LV"/>
        </w:rPr>
        <w:t>L-</w:t>
      </w:r>
      <w:r w:rsidR="00F52413" w:rsidRPr="000B1DEB">
        <w:rPr>
          <w:szCs w:val="28"/>
          <w:lang w:eastAsia="lv-LV"/>
        </w:rPr>
        <w:t>доф</w:t>
      </w:r>
      <w:r w:rsidRPr="000B1DEB">
        <w:rPr>
          <w:szCs w:val="28"/>
          <w:lang w:eastAsia="lv-LV"/>
        </w:rPr>
        <w:t>ы, дофаминергических агонистов и антихолинергических средств может усилить одновременное применение</w:t>
      </w:r>
      <w:r w:rsidRPr="000B1DEB">
        <w:rPr>
          <w:szCs w:val="28"/>
          <w:lang w:val="lv-LV" w:eastAsia="lv-LV"/>
        </w:rPr>
        <w:t xml:space="preserve"> </w:t>
      </w:r>
      <w:r w:rsidRPr="000B1DEB">
        <w:rPr>
          <w:szCs w:val="28"/>
          <w:lang w:eastAsia="lv-LV"/>
        </w:rPr>
        <w:t xml:space="preserve">антагонистов </w:t>
      </w:r>
      <w:r w:rsidRPr="000B1DEB">
        <w:rPr>
          <w:szCs w:val="28"/>
          <w:lang w:val="lv-LV" w:eastAsia="lv-LV"/>
        </w:rPr>
        <w:t>NMDA</w:t>
      </w:r>
      <w:r w:rsidRPr="000B1DEB">
        <w:rPr>
          <w:szCs w:val="28"/>
          <w:lang w:eastAsia="lv-LV"/>
        </w:rPr>
        <w:t>, например, мемантина. Действие барбитуратов и нейролептических средств может быть ослаблено. Одновременное применение мемантина и спазмолитических средств, дантролена или баклофена, может изменить их действие, и может потребоваться корректировка дозы.</w:t>
      </w:r>
    </w:p>
    <w:p w:rsidR="004D15E0" w:rsidRPr="000B1DEB" w:rsidRDefault="004D15E0" w:rsidP="004D15E0">
      <w:pPr>
        <w:widowControl/>
        <w:numPr>
          <w:ilvl w:val="0"/>
          <w:numId w:val="1"/>
        </w:numPr>
        <w:ind w:left="426" w:hanging="426"/>
        <w:jc w:val="both"/>
        <w:rPr>
          <w:szCs w:val="28"/>
          <w:lang w:eastAsia="lv-LV"/>
        </w:rPr>
      </w:pPr>
      <w:r w:rsidRPr="000B1DEB">
        <w:rPr>
          <w:szCs w:val="28"/>
          <w:lang w:eastAsia="lv-LV"/>
        </w:rPr>
        <w:t xml:space="preserve">Из-за риска фармакотоксического психоза следует избегать одновременного применения мемантина с амантадином. Оба соединения являются химически родственными антагонистами </w:t>
      </w:r>
      <w:r w:rsidRPr="000B1DEB">
        <w:rPr>
          <w:szCs w:val="28"/>
          <w:lang w:val="lv-LV" w:eastAsia="lv-LV"/>
        </w:rPr>
        <w:t>NMDA</w:t>
      </w:r>
      <w:r w:rsidRPr="000B1DEB">
        <w:rPr>
          <w:szCs w:val="28"/>
          <w:lang w:eastAsia="lv-LV"/>
        </w:rPr>
        <w:t>. То же самое относится к кетамину, и декстрометорфан</w:t>
      </w:r>
      <w:r w:rsidR="00F277F5" w:rsidRPr="000B1DEB">
        <w:rPr>
          <w:szCs w:val="28"/>
          <w:lang w:eastAsia="lv-LV"/>
        </w:rPr>
        <w:t>у</w:t>
      </w:r>
      <w:r w:rsidRPr="000B1DEB">
        <w:rPr>
          <w:szCs w:val="28"/>
          <w:lang w:eastAsia="lv-LV"/>
        </w:rPr>
        <w:t xml:space="preserve">. Опубликовано </w:t>
      </w:r>
      <w:r w:rsidRPr="000B1DEB">
        <w:rPr>
          <w:szCs w:val="28"/>
          <w:lang w:eastAsia="lv-LV"/>
        </w:rPr>
        <w:lastRenderedPageBreak/>
        <w:t>одно сообщение о возможном риске при комбинировании мемантина и фенитоина.</w:t>
      </w:r>
    </w:p>
    <w:p w:rsidR="004D15E0" w:rsidRPr="000B1DEB" w:rsidRDefault="004D15E0" w:rsidP="004D15E0">
      <w:pPr>
        <w:widowControl/>
        <w:numPr>
          <w:ilvl w:val="0"/>
          <w:numId w:val="1"/>
        </w:numPr>
        <w:ind w:left="426" w:hanging="426"/>
        <w:jc w:val="both"/>
        <w:rPr>
          <w:szCs w:val="28"/>
          <w:lang w:eastAsia="lv-LV"/>
        </w:rPr>
      </w:pPr>
      <w:r w:rsidRPr="000B1DEB">
        <w:rPr>
          <w:szCs w:val="28"/>
          <w:lang w:eastAsia="lv-LV"/>
        </w:rPr>
        <w:t xml:space="preserve">Другие активные вещества, например, циметидин, ранитидин, прокаинамид, хинидин, хинин и никотин, которые используют ту же самую почечную систему транспорта катионов, как амантадин, возможно, также могут взаимодействовать с мемантином и вызывать риск повышенного уровня в плазме. </w:t>
      </w:r>
    </w:p>
    <w:p w:rsidR="004D15E0" w:rsidRPr="000B1DEB" w:rsidRDefault="004D15E0" w:rsidP="004D15E0">
      <w:pPr>
        <w:widowControl/>
        <w:numPr>
          <w:ilvl w:val="0"/>
          <w:numId w:val="1"/>
        </w:numPr>
        <w:ind w:left="426" w:hanging="426"/>
        <w:jc w:val="both"/>
        <w:rPr>
          <w:szCs w:val="28"/>
          <w:lang w:eastAsia="lv-LV"/>
        </w:rPr>
      </w:pPr>
      <w:r w:rsidRPr="000B1DEB">
        <w:rPr>
          <w:szCs w:val="28"/>
          <w:lang w:eastAsia="lv-LV"/>
        </w:rPr>
        <w:t xml:space="preserve">При одновременном применении мемантина с </w:t>
      </w:r>
      <w:r w:rsidR="002939B2" w:rsidRPr="000B1DEB">
        <w:rPr>
          <w:szCs w:val="28"/>
          <w:lang w:eastAsia="lv-LV"/>
        </w:rPr>
        <w:t>гидрохлортиазидом (</w:t>
      </w:r>
      <w:r w:rsidRPr="000B1DEB">
        <w:rPr>
          <w:szCs w:val="28"/>
          <w:lang w:eastAsia="lv-LV"/>
        </w:rPr>
        <w:t>ГХТ</w:t>
      </w:r>
      <w:r w:rsidR="002939B2" w:rsidRPr="000B1DEB">
        <w:rPr>
          <w:szCs w:val="28"/>
          <w:lang w:eastAsia="lv-LV"/>
        </w:rPr>
        <w:t>)</w:t>
      </w:r>
      <w:r w:rsidRPr="000B1DEB">
        <w:rPr>
          <w:szCs w:val="28"/>
          <w:lang w:eastAsia="lv-LV"/>
        </w:rPr>
        <w:t xml:space="preserve"> или в любой комбинации с ГХТ, существует возможность понижения уровня </w:t>
      </w:r>
      <w:r w:rsidR="009B31AD" w:rsidRPr="000B1DEB">
        <w:rPr>
          <w:szCs w:val="28"/>
          <w:lang w:eastAsia="lv-LV"/>
        </w:rPr>
        <w:t>ГХТ</w:t>
      </w:r>
      <w:r w:rsidRPr="000B1DEB">
        <w:rPr>
          <w:szCs w:val="28"/>
          <w:lang w:eastAsia="lv-LV"/>
        </w:rPr>
        <w:t xml:space="preserve"> в сыворотке.</w:t>
      </w:r>
    </w:p>
    <w:p w:rsidR="004D15E0" w:rsidRPr="000B1DEB" w:rsidRDefault="004D15E0" w:rsidP="004D15E0">
      <w:pPr>
        <w:widowControl/>
        <w:numPr>
          <w:ilvl w:val="0"/>
          <w:numId w:val="1"/>
        </w:numPr>
        <w:ind w:left="426" w:hanging="426"/>
        <w:jc w:val="both"/>
        <w:rPr>
          <w:szCs w:val="28"/>
          <w:lang w:eastAsia="lv-LV"/>
        </w:rPr>
      </w:pPr>
      <w:r w:rsidRPr="000B1DEB">
        <w:rPr>
          <w:szCs w:val="28"/>
          <w:lang w:eastAsia="lv-LV"/>
        </w:rPr>
        <w:t>После введения в рынок сообщалось об отдельных случаях повышенного международного нормализованного отношения (МНО) у пациентов, которые  одновременно применяли варфарин. Хотя причинно-следственная связь не была выявлена, пациентам, одновременно принимающим пероральные антикоагулянты, рекомендуется строго контролировать протромбиновое время или МНО.</w:t>
      </w:r>
    </w:p>
    <w:p w:rsidR="004D15E0" w:rsidRPr="000B1DEB" w:rsidRDefault="004D15E0" w:rsidP="004D15E0">
      <w:pPr>
        <w:widowControl/>
        <w:jc w:val="both"/>
        <w:rPr>
          <w:szCs w:val="28"/>
          <w:lang w:eastAsia="lv-LV"/>
        </w:rPr>
      </w:pPr>
    </w:p>
    <w:p w:rsidR="004D15E0" w:rsidRPr="000B1DEB" w:rsidRDefault="004D15E0" w:rsidP="004D15E0">
      <w:pPr>
        <w:widowControl/>
        <w:jc w:val="both"/>
        <w:rPr>
          <w:szCs w:val="28"/>
          <w:lang w:eastAsia="lv-LV"/>
        </w:rPr>
      </w:pPr>
      <w:r w:rsidRPr="000B1DEB">
        <w:rPr>
          <w:szCs w:val="28"/>
          <w:lang w:eastAsia="lv-LV"/>
        </w:rPr>
        <w:t>В фармакокинетических исследованиях разовой дозы у молодых, здоровых добровольцев не выявлено существенного взаимодействия между активным веществом мемантина и активными веществами глибурида/метформина или донепезила.</w:t>
      </w:r>
    </w:p>
    <w:p w:rsidR="004D15E0" w:rsidRPr="000B1DEB" w:rsidRDefault="004D15E0" w:rsidP="004D15E0">
      <w:pPr>
        <w:widowControl/>
        <w:jc w:val="both"/>
        <w:rPr>
          <w:szCs w:val="28"/>
          <w:lang w:eastAsia="lv-LV"/>
        </w:rPr>
      </w:pPr>
    </w:p>
    <w:p w:rsidR="004D15E0" w:rsidRPr="000B1DEB" w:rsidRDefault="004D15E0" w:rsidP="004D15E0">
      <w:pPr>
        <w:widowControl/>
        <w:jc w:val="both"/>
        <w:rPr>
          <w:szCs w:val="28"/>
          <w:lang w:eastAsia="lv-LV"/>
        </w:rPr>
      </w:pPr>
      <w:r w:rsidRPr="000B1DEB">
        <w:rPr>
          <w:szCs w:val="28"/>
          <w:lang w:eastAsia="lv-LV"/>
        </w:rPr>
        <w:t>В клиническом исследовании у молодых здоровых добровольцев не выявлено существенного влияния мемантина на фармакокинетику галантамина.</w:t>
      </w:r>
    </w:p>
    <w:p w:rsidR="004D15E0" w:rsidRPr="000B1DEB" w:rsidRDefault="004D15E0" w:rsidP="004D15E0">
      <w:pPr>
        <w:widowControl/>
        <w:jc w:val="both"/>
        <w:rPr>
          <w:szCs w:val="28"/>
          <w:lang w:eastAsia="lv-LV"/>
        </w:rPr>
      </w:pPr>
    </w:p>
    <w:p w:rsidR="004D15E0" w:rsidRPr="000B1DEB" w:rsidRDefault="004D15E0" w:rsidP="004D15E0">
      <w:pPr>
        <w:widowControl/>
        <w:jc w:val="both"/>
        <w:rPr>
          <w:szCs w:val="28"/>
          <w:lang w:eastAsia="lv-LV"/>
        </w:rPr>
      </w:pPr>
      <w:proofErr w:type="gramStart"/>
      <w:r w:rsidRPr="000B1DEB">
        <w:rPr>
          <w:i/>
          <w:szCs w:val="28"/>
          <w:lang w:val="en-US" w:eastAsia="lv-LV"/>
        </w:rPr>
        <w:t>I</w:t>
      </w:r>
      <w:r w:rsidRPr="000B1DEB">
        <w:rPr>
          <w:i/>
          <w:szCs w:val="28"/>
          <w:lang w:val="lv-LV" w:eastAsia="lv-LV"/>
        </w:rPr>
        <w:t>n vitro</w:t>
      </w:r>
      <w:r w:rsidRPr="000B1DEB">
        <w:rPr>
          <w:szCs w:val="28"/>
          <w:lang w:val="lv-LV" w:eastAsia="lv-LV"/>
        </w:rPr>
        <w:t xml:space="preserve"> </w:t>
      </w:r>
      <w:proofErr w:type="spellStart"/>
      <w:r w:rsidRPr="000B1DEB">
        <w:rPr>
          <w:szCs w:val="28"/>
          <w:lang w:eastAsia="lv-LV"/>
        </w:rPr>
        <w:t>мемантин</w:t>
      </w:r>
      <w:proofErr w:type="spellEnd"/>
      <w:r w:rsidRPr="000B1DEB">
        <w:rPr>
          <w:szCs w:val="28"/>
          <w:lang w:eastAsia="lv-LV"/>
        </w:rPr>
        <w:t xml:space="preserve"> не ингибировал </w:t>
      </w:r>
      <w:r w:rsidRPr="000B1DEB">
        <w:rPr>
          <w:szCs w:val="28"/>
          <w:lang w:val="en-US" w:eastAsia="lv-LV"/>
        </w:rPr>
        <w:t>CYP</w:t>
      </w:r>
      <w:r w:rsidRPr="000B1DEB">
        <w:rPr>
          <w:szCs w:val="28"/>
          <w:lang w:eastAsia="lv-LV"/>
        </w:rPr>
        <w:t xml:space="preserve"> 1</w:t>
      </w:r>
      <w:r w:rsidRPr="000B1DEB">
        <w:rPr>
          <w:szCs w:val="28"/>
          <w:lang w:val="en-US" w:eastAsia="lv-LV"/>
        </w:rPr>
        <w:t>A</w:t>
      </w:r>
      <w:r w:rsidRPr="000B1DEB">
        <w:rPr>
          <w:szCs w:val="28"/>
          <w:lang w:eastAsia="lv-LV"/>
        </w:rPr>
        <w:t>2, 2</w:t>
      </w:r>
      <w:r w:rsidRPr="000B1DEB">
        <w:rPr>
          <w:szCs w:val="28"/>
          <w:lang w:val="en-US" w:eastAsia="lv-LV"/>
        </w:rPr>
        <w:t>A</w:t>
      </w:r>
      <w:r w:rsidRPr="000B1DEB">
        <w:rPr>
          <w:szCs w:val="28"/>
          <w:lang w:eastAsia="lv-LV"/>
        </w:rPr>
        <w:t>6, 2</w:t>
      </w:r>
      <w:r w:rsidRPr="000B1DEB">
        <w:rPr>
          <w:szCs w:val="28"/>
          <w:lang w:val="en-US" w:eastAsia="lv-LV"/>
        </w:rPr>
        <w:t>C</w:t>
      </w:r>
      <w:r w:rsidRPr="000B1DEB">
        <w:rPr>
          <w:szCs w:val="28"/>
          <w:lang w:eastAsia="lv-LV"/>
        </w:rPr>
        <w:t>9, 2</w:t>
      </w:r>
      <w:r w:rsidRPr="000B1DEB">
        <w:rPr>
          <w:szCs w:val="28"/>
          <w:lang w:val="en-US" w:eastAsia="lv-LV"/>
        </w:rPr>
        <w:t>D</w:t>
      </w:r>
      <w:r w:rsidRPr="000B1DEB">
        <w:rPr>
          <w:szCs w:val="28"/>
          <w:lang w:eastAsia="lv-LV"/>
        </w:rPr>
        <w:t>6, 2</w:t>
      </w:r>
      <w:r w:rsidRPr="000B1DEB">
        <w:rPr>
          <w:szCs w:val="28"/>
          <w:lang w:val="en-US" w:eastAsia="lv-LV"/>
        </w:rPr>
        <w:t>E</w:t>
      </w:r>
      <w:r w:rsidRPr="000B1DEB">
        <w:rPr>
          <w:szCs w:val="28"/>
          <w:lang w:eastAsia="lv-LV"/>
        </w:rPr>
        <w:t>1, 3</w:t>
      </w:r>
      <w:r w:rsidRPr="000B1DEB">
        <w:rPr>
          <w:szCs w:val="28"/>
          <w:lang w:val="en-US" w:eastAsia="lv-LV"/>
        </w:rPr>
        <w:t>A</w:t>
      </w:r>
      <w:r w:rsidRPr="000B1DEB">
        <w:rPr>
          <w:szCs w:val="28"/>
          <w:lang w:eastAsia="lv-LV"/>
        </w:rPr>
        <w:t xml:space="preserve">, </w:t>
      </w:r>
      <w:proofErr w:type="spellStart"/>
      <w:r w:rsidRPr="000B1DEB">
        <w:rPr>
          <w:szCs w:val="28"/>
          <w:lang w:eastAsia="lv-LV"/>
        </w:rPr>
        <w:t>монооксигеназу</w:t>
      </w:r>
      <w:proofErr w:type="spellEnd"/>
      <w:r w:rsidRPr="000B1DEB">
        <w:rPr>
          <w:szCs w:val="28"/>
          <w:lang w:eastAsia="lv-LV"/>
        </w:rPr>
        <w:t xml:space="preserve">, содержащую </w:t>
      </w:r>
      <w:proofErr w:type="spellStart"/>
      <w:r w:rsidRPr="000B1DEB">
        <w:rPr>
          <w:szCs w:val="28"/>
          <w:lang w:eastAsia="lv-LV"/>
        </w:rPr>
        <w:t>флавин</w:t>
      </w:r>
      <w:proofErr w:type="spellEnd"/>
      <w:r w:rsidRPr="000B1DEB">
        <w:rPr>
          <w:szCs w:val="28"/>
          <w:lang w:eastAsia="lv-LV"/>
        </w:rPr>
        <w:t xml:space="preserve">, </w:t>
      </w:r>
      <w:proofErr w:type="spellStart"/>
      <w:r w:rsidRPr="000B1DEB">
        <w:rPr>
          <w:szCs w:val="28"/>
          <w:lang w:eastAsia="lv-LV"/>
        </w:rPr>
        <w:t>эпоксидгидролазу</w:t>
      </w:r>
      <w:proofErr w:type="spellEnd"/>
      <w:r w:rsidRPr="000B1DEB">
        <w:rPr>
          <w:szCs w:val="28"/>
          <w:lang w:eastAsia="lv-LV"/>
        </w:rPr>
        <w:t xml:space="preserve"> или </w:t>
      </w:r>
      <w:proofErr w:type="spellStart"/>
      <w:r w:rsidRPr="000B1DEB">
        <w:rPr>
          <w:szCs w:val="28"/>
          <w:lang w:eastAsia="lv-LV"/>
        </w:rPr>
        <w:t>сульфатирование</w:t>
      </w:r>
      <w:proofErr w:type="spellEnd"/>
      <w:r w:rsidRPr="000B1DEB">
        <w:rPr>
          <w:szCs w:val="28"/>
          <w:lang w:eastAsia="lv-LV"/>
        </w:rPr>
        <w:t>.</w:t>
      </w:r>
      <w:proofErr w:type="gramEnd"/>
    </w:p>
    <w:p w:rsidR="00E333AE" w:rsidRPr="000B1DEB" w:rsidRDefault="00E333AE" w:rsidP="00F77BB5">
      <w:pPr>
        <w:rPr>
          <w:szCs w:val="28"/>
        </w:rPr>
      </w:pPr>
    </w:p>
    <w:p w:rsidR="00E333AE" w:rsidRPr="000B1DEB" w:rsidRDefault="00E333AE" w:rsidP="00E333AE">
      <w:pPr>
        <w:jc w:val="both"/>
        <w:rPr>
          <w:b/>
          <w:color w:val="000000"/>
          <w:szCs w:val="28"/>
        </w:rPr>
      </w:pPr>
      <w:r w:rsidRPr="000B1DEB">
        <w:rPr>
          <w:b/>
          <w:color w:val="000000"/>
          <w:szCs w:val="28"/>
        </w:rPr>
        <w:t>Особые указания</w:t>
      </w:r>
    </w:p>
    <w:p w:rsidR="00473407" w:rsidRPr="000B1DEB" w:rsidRDefault="00473407" w:rsidP="00473407">
      <w:pPr>
        <w:jc w:val="both"/>
        <w:rPr>
          <w:szCs w:val="28"/>
        </w:rPr>
      </w:pPr>
      <w:r w:rsidRPr="000B1DEB">
        <w:rPr>
          <w:szCs w:val="28"/>
        </w:rPr>
        <w:t>Следует соблюдать осторожность при назначении препарата больным эпилепсией, пациентам с эпизодами судорог в анамнезе, а также пациентам с факторами риска развития эпилепсии.</w:t>
      </w:r>
    </w:p>
    <w:p w:rsidR="00473407" w:rsidRPr="000B1DEB" w:rsidRDefault="00473407" w:rsidP="00473407">
      <w:pPr>
        <w:jc w:val="both"/>
        <w:rPr>
          <w:szCs w:val="28"/>
        </w:rPr>
      </w:pPr>
      <w:r w:rsidRPr="000B1DEB">
        <w:rPr>
          <w:szCs w:val="28"/>
        </w:rPr>
        <w:t>Следует избегать одновременного применения с такими N-метил-D-аспартат (NMDA) антагонистами, как амантадин, кетамин или декстрометорфан. Эти соединения влияют на одну и ту же систему рецепторов, что и мемантин, поэтому побочные эффекты (в основном связанные с центральной нервной системой) могут быть более частыми или более выраженными.</w:t>
      </w:r>
    </w:p>
    <w:p w:rsidR="00473407" w:rsidRPr="000B1DEB" w:rsidRDefault="00473407" w:rsidP="00473407">
      <w:pPr>
        <w:jc w:val="both"/>
        <w:rPr>
          <w:szCs w:val="28"/>
        </w:rPr>
      </w:pPr>
      <w:r w:rsidRPr="000B1DEB">
        <w:rPr>
          <w:szCs w:val="28"/>
        </w:rPr>
        <w:t xml:space="preserve">Некоторые факторы, вызывающие увеличение рН мочи, могут обусловить необходимость тщательного наблюдения за пациентом. Указанные факторы включают глубокие изменения диеты, например замену богатого мясными блюдами рациона на вегетарианский или интенсивный прием </w:t>
      </w:r>
      <w:r w:rsidRPr="000B1DEB">
        <w:rPr>
          <w:szCs w:val="28"/>
        </w:rPr>
        <w:lastRenderedPageBreak/>
        <w:t xml:space="preserve">антацидных желудочных средств. Кроме того, рН мочи может повышаться из-за состояния тубулярного почечного ацидоза (ТПА) при тяжелой инфекции мочевыводящих путей, вызванной </w:t>
      </w:r>
      <w:r w:rsidRPr="000B1DEB">
        <w:rPr>
          <w:i/>
          <w:szCs w:val="28"/>
        </w:rPr>
        <w:t>Proteus bacteria</w:t>
      </w:r>
      <w:r w:rsidRPr="000B1DEB">
        <w:rPr>
          <w:szCs w:val="28"/>
        </w:rPr>
        <w:t>.</w:t>
      </w:r>
    </w:p>
    <w:p w:rsidR="00473407" w:rsidRPr="000B1DEB" w:rsidRDefault="00473407" w:rsidP="00473407">
      <w:pPr>
        <w:jc w:val="both"/>
        <w:rPr>
          <w:szCs w:val="28"/>
        </w:rPr>
      </w:pPr>
      <w:r w:rsidRPr="000B1DEB">
        <w:rPr>
          <w:szCs w:val="28"/>
        </w:rPr>
        <w:t>Во время большинства клинических исследований пациенты, недавно перенесшие инфаркт миокарда и пациенты с декомпенсированной застойной сердечной недостаточностью (III-IV</w:t>
      </w:r>
      <w:r w:rsidRPr="000B1DEB">
        <w:rPr>
          <w:szCs w:val="28"/>
          <w:lang w:val="lv-LV"/>
        </w:rPr>
        <w:t> </w:t>
      </w:r>
      <w:r w:rsidRPr="000B1DEB">
        <w:rPr>
          <w:szCs w:val="28"/>
        </w:rPr>
        <w:t xml:space="preserve">степени по классификации </w:t>
      </w:r>
      <w:r w:rsidRPr="000B1DEB">
        <w:rPr>
          <w:szCs w:val="28"/>
          <w:lang w:val="lv-LV"/>
        </w:rPr>
        <w:t>NYHA</w:t>
      </w:r>
      <w:r w:rsidRPr="000B1DEB">
        <w:rPr>
          <w:szCs w:val="28"/>
        </w:rPr>
        <w:t xml:space="preserve">), а также </w:t>
      </w:r>
      <w:r w:rsidRPr="000B1DEB">
        <w:rPr>
          <w:szCs w:val="28"/>
          <w:lang w:val="lv-LV"/>
        </w:rPr>
        <w:t xml:space="preserve">c </w:t>
      </w:r>
      <w:r w:rsidRPr="000B1DEB">
        <w:rPr>
          <w:szCs w:val="28"/>
        </w:rPr>
        <w:t>неконтролируемой артериальной гипертензией, исключались из числа участников. Вследствие этого имеются лишь ограниченные соответствующие данные, а за пациентами с такими заболеваниями необходим тщательный надзор.</w:t>
      </w:r>
    </w:p>
    <w:p w:rsidR="00C07DF3" w:rsidRPr="000B1DEB" w:rsidRDefault="00C07DF3" w:rsidP="00A6337C">
      <w:pPr>
        <w:widowControl/>
        <w:jc w:val="both"/>
        <w:rPr>
          <w:rFonts w:eastAsia="ZapfChancery"/>
          <w:i/>
          <w:szCs w:val="28"/>
          <w:lang w:eastAsia="en-US"/>
        </w:rPr>
      </w:pPr>
    </w:p>
    <w:p w:rsidR="00A6337C" w:rsidRPr="000B1DEB" w:rsidRDefault="00A6337C" w:rsidP="00A6337C">
      <w:pPr>
        <w:widowControl/>
        <w:jc w:val="both"/>
        <w:rPr>
          <w:rFonts w:eastAsia="ZapfChancery"/>
          <w:i/>
          <w:szCs w:val="28"/>
          <w:lang w:eastAsia="en-US"/>
        </w:rPr>
      </w:pPr>
      <w:r w:rsidRPr="000B1DEB">
        <w:rPr>
          <w:rFonts w:eastAsia="ZapfChancery"/>
          <w:i/>
          <w:szCs w:val="28"/>
          <w:lang w:eastAsia="en-US"/>
        </w:rPr>
        <w:t>Беременность и лактация</w:t>
      </w:r>
    </w:p>
    <w:p w:rsidR="00473407" w:rsidRPr="000B1DEB" w:rsidRDefault="00473407" w:rsidP="00473407">
      <w:pPr>
        <w:jc w:val="both"/>
        <w:rPr>
          <w:szCs w:val="28"/>
        </w:rPr>
      </w:pPr>
      <w:r w:rsidRPr="000B1DEB">
        <w:rPr>
          <w:szCs w:val="28"/>
        </w:rPr>
        <w:t>Данных о влиянии мемантина при применении его в период беременности нет. Экспериментальные исследования на животных указывают на возможность замедления внутриутробного роста при воздействии концентраций, идентичных или несколько больше тех, что применяются для человека. Потенциальный риск для человека неизвестен. Мемантин не следует применять в период беременности, за исключением случаев, обусловленных четкой и явной необходимостью.</w:t>
      </w:r>
    </w:p>
    <w:p w:rsidR="00473407" w:rsidRPr="000B1DEB" w:rsidRDefault="00473407" w:rsidP="00473407">
      <w:pPr>
        <w:jc w:val="both"/>
        <w:rPr>
          <w:szCs w:val="28"/>
        </w:rPr>
      </w:pPr>
      <w:r w:rsidRPr="000B1DEB">
        <w:rPr>
          <w:szCs w:val="28"/>
        </w:rPr>
        <w:t>Неизвестно, происходит ли</w:t>
      </w:r>
      <w:r w:rsidRPr="000B1DEB">
        <w:rPr>
          <w:szCs w:val="28"/>
          <w:lang w:val="lv-LV"/>
        </w:rPr>
        <w:t xml:space="preserve"> </w:t>
      </w:r>
      <w:r w:rsidRPr="000B1DEB">
        <w:rPr>
          <w:szCs w:val="28"/>
        </w:rPr>
        <w:t>экскреция мемантина в грудное молоко, однако, это может иметь место, учитывая липофильность субстанции. Женщинам, которые применяют мемантин, следует воздержаться от кормления грудью.</w:t>
      </w:r>
    </w:p>
    <w:p w:rsidR="00277953" w:rsidRPr="000B1DEB" w:rsidRDefault="00277953" w:rsidP="00B22A40">
      <w:pPr>
        <w:tabs>
          <w:tab w:val="left" w:pos="9356"/>
          <w:tab w:val="left" w:pos="10348"/>
        </w:tabs>
        <w:ind w:right="-1"/>
        <w:jc w:val="both"/>
        <w:rPr>
          <w:i/>
          <w:color w:val="000000"/>
          <w:szCs w:val="28"/>
          <w:lang w:val="lv-LV"/>
        </w:rPr>
      </w:pPr>
    </w:p>
    <w:p w:rsidR="00B22A40" w:rsidRPr="000B1DEB" w:rsidRDefault="00B22A40" w:rsidP="00B22A40">
      <w:pPr>
        <w:tabs>
          <w:tab w:val="left" w:pos="9356"/>
          <w:tab w:val="left" w:pos="10348"/>
        </w:tabs>
        <w:ind w:right="-1"/>
        <w:jc w:val="both"/>
        <w:rPr>
          <w:i/>
          <w:color w:val="000000"/>
          <w:szCs w:val="28"/>
        </w:rPr>
      </w:pPr>
      <w:r w:rsidRPr="000B1DEB">
        <w:rPr>
          <w:i/>
          <w:color w:val="000000"/>
          <w:szCs w:val="28"/>
        </w:rPr>
        <w:t>И</w:t>
      </w:r>
      <w:r w:rsidR="00BE7593" w:rsidRPr="000B1DEB">
        <w:rPr>
          <w:i/>
          <w:color w:val="000000"/>
          <w:szCs w:val="28"/>
        </w:rPr>
        <w:t xml:space="preserve">нформация по вспомогательным </w:t>
      </w:r>
      <w:r w:rsidRPr="000B1DEB">
        <w:rPr>
          <w:i/>
          <w:color w:val="000000"/>
          <w:szCs w:val="28"/>
        </w:rPr>
        <w:t>веществам</w:t>
      </w:r>
    </w:p>
    <w:p w:rsidR="00B22A40" w:rsidRPr="000B1DEB" w:rsidRDefault="00BE7593" w:rsidP="00B22A40">
      <w:pPr>
        <w:tabs>
          <w:tab w:val="left" w:pos="9356"/>
          <w:tab w:val="left" w:pos="10348"/>
        </w:tabs>
        <w:ind w:right="-1"/>
        <w:jc w:val="both"/>
        <w:rPr>
          <w:color w:val="000000"/>
          <w:szCs w:val="28"/>
        </w:rPr>
      </w:pPr>
      <w:r w:rsidRPr="000B1DEB">
        <w:rPr>
          <w:color w:val="000000"/>
          <w:szCs w:val="28"/>
        </w:rPr>
        <w:t xml:space="preserve">Из-за </w:t>
      </w:r>
      <w:r w:rsidR="000E3FE3" w:rsidRPr="000B1DEB">
        <w:rPr>
          <w:color w:val="000000"/>
          <w:szCs w:val="28"/>
        </w:rPr>
        <w:t xml:space="preserve">содержания </w:t>
      </w:r>
      <w:r w:rsidRPr="000B1DEB">
        <w:rPr>
          <w:color w:val="000000"/>
          <w:szCs w:val="28"/>
        </w:rPr>
        <w:t xml:space="preserve">лактозы моногидрата в качестве вспомогательного </w:t>
      </w:r>
      <w:r w:rsidR="00B22A40" w:rsidRPr="000B1DEB">
        <w:rPr>
          <w:color w:val="000000"/>
          <w:szCs w:val="28"/>
        </w:rPr>
        <w:t>вещества осторожно назначать больным с сахарным диабетом.</w:t>
      </w:r>
    </w:p>
    <w:p w:rsidR="00473407" w:rsidRPr="000B1DEB" w:rsidRDefault="00473407" w:rsidP="00473407">
      <w:pPr>
        <w:jc w:val="both"/>
        <w:rPr>
          <w:szCs w:val="28"/>
        </w:rPr>
      </w:pPr>
    </w:p>
    <w:p w:rsidR="00107B95" w:rsidRPr="000B1DEB" w:rsidRDefault="00107B95" w:rsidP="00107B95">
      <w:pPr>
        <w:widowControl/>
        <w:jc w:val="both"/>
        <w:rPr>
          <w:rFonts w:eastAsia="ZapfChancery"/>
          <w:i/>
          <w:szCs w:val="28"/>
          <w:lang w:eastAsia="en-US"/>
        </w:rPr>
      </w:pPr>
      <w:r w:rsidRPr="000B1DEB">
        <w:rPr>
          <w:rFonts w:eastAsia="ZapfChancery"/>
          <w:i/>
          <w:szCs w:val="28"/>
          <w:lang w:eastAsia="en-US"/>
        </w:rPr>
        <w:t>Особенности влияния лекарственного средства на способность управлять транспортным средством или потенциально опасными механизмами</w:t>
      </w:r>
    </w:p>
    <w:p w:rsidR="00473407" w:rsidRPr="000B1DEB" w:rsidRDefault="00473407" w:rsidP="00473407">
      <w:pPr>
        <w:jc w:val="both"/>
        <w:rPr>
          <w:szCs w:val="28"/>
        </w:rPr>
      </w:pPr>
      <w:r w:rsidRPr="000B1DEB">
        <w:rPr>
          <w:szCs w:val="28"/>
        </w:rPr>
        <w:t xml:space="preserve">Болезнь Альцгеймера </w:t>
      </w:r>
      <w:r w:rsidR="000531F3" w:rsidRPr="000B1DEB">
        <w:rPr>
          <w:szCs w:val="28"/>
        </w:rPr>
        <w:t>умеренной степени</w:t>
      </w:r>
      <w:r w:rsidRPr="000B1DEB">
        <w:rPr>
          <w:szCs w:val="28"/>
        </w:rPr>
        <w:t xml:space="preserve"> тяжести и тяжелых форм обычно приводит к ухудшению возможности управлять автомобилем и нарушает способность работать с механизмами. Более того, мемантин имеет незначительное или умеренное влияние на скорость реакции человека, поэтому амбулаторных пациентов следует предупредить о необходимости соблюдения особой осторожности при управлении автотранспортом или работе с оборудованием.</w:t>
      </w:r>
    </w:p>
    <w:p w:rsidR="00E333AE" w:rsidRPr="000B1DEB" w:rsidRDefault="00E333AE" w:rsidP="00E333AE">
      <w:pPr>
        <w:jc w:val="both"/>
        <w:rPr>
          <w:b/>
          <w:color w:val="000000"/>
          <w:szCs w:val="28"/>
        </w:rPr>
      </w:pPr>
    </w:p>
    <w:p w:rsidR="00E333AE" w:rsidRPr="000B1DEB" w:rsidRDefault="00E333AE" w:rsidP="00E333AE">
      <w:pPr>
        <w:jc w:val="both"/>
        <w:rPr>
          <w:b/>
          <w:color w:val="000000"/>
          <w:szCs w:val="28"/>
        </w:rPr>
      </w:pPr>
      <w:r w:rsidRPr="000B1DEB">
        <w:rPr>
          <w:b/>
          <w:color w:val="000000"/>
          <w:szCs w:val="28"/>
        </w:rPr>
        <w:t>Передозировка</w:t>
      </w:r>
    </w:p>
    <w:p w:rsidR="0013477D" w:rsidRPr="000B1DEB" w:rsidRDefault="0013477D" w:rsidP="00E333AE">
      <w:pPr>
        <w:jc w:val="both"/>
        <w:rPr>
          <w:szCs w:val="28"/>
        </w:rPr>
      </w:pPr>
      <w:r w:rsidRPr="000B1DEB">
        <w:rPr>
          <w:szCs w:val="28"/>
        </w:rPr>
        <w:t>Опыт ограничен.</w:t>
      </w:r>
    </w:p>
    <w:p w:rsidR="00A42477" w:rsidRPr="000B1DEB" w:rsidRDefault="00E333AE" w:rsidP="006F3CA5">
      <w:pPr>
        <w:jc w:val="both"/>
        <w:rPr>
          <w:rFonts w:eastAsia="ZapfChancery"/>
          <w:color w:val="000000"/>
          <w:szCs w:val="28"/>
          <w:lang w:eastAsia="en-US"/>
        </w:rPr>
      </w:pPr>
      <w:r w:rsidRPr="000B1DEB">
        <w:rPr>
          <w:rFonts w:eastAsia="ZapfChancery"/>
          <w:i/>
          <w:color w:val="000000"/>
          <w:szCs w:val="28"/>
          <w:lang w:eastAsia="en-US"/>
        </w:rPr>
        <w:t>Симптомы</w:t>
      </w:r>
      <w:r w:rsidRPr="000B1DEB">
        <w:rPr>
          <w:rFonts w:eastAsia="ZapfChancery"/>
          <w:color w:val="000000"/>
          <w:szCs w:val="28"/>
          <w:lang w:eastAsia="en-US"/>
        </w:rPr>
        <w:t>:</w:t>
      </w:r>
      <w:r w:rsidR="006F3CA5" w:rsidRPr="000B1DEB">
        <w:rPr>
          <w:rFonts w:eastAsia="ZapfChancery"/>
          <w:color w:val="000000"/>
          <w:szCs w:val="28"/>
          <w:lang w:eastAsia="en-US"/>
        </w:rPr>
        <w:t xml:space="preserve"> о</w:t>
      </w:r>
      <w:r w:rsidR="00A42477" w:rsidRPr="000B1DEB">
        <w:rPr>
          <w:szCs w:val="28"/>
          <w:lang w:eastAsia="en-US"/>
        </w:rPr>
        <w:t>тносительно большая передозировка (200</w:t>
      </w:r>
      <w:r w:rsidR="00A42477" w:rsidRPr="000B1DEB">
        <w:rPr>
          <w:szCs w:val="28"/>
          <w:lang w:val="en-GB" w:eastAsia="en-US"/>
        </w:rPr>
        <w:t> </w:t>
      </w:r>
      <w:r w:rsidR="00A42477" w:rsidRPr="000B1DEB">
        <w:rPr>
          <w:szCs w:val="28"/>
          <w:lang w:eastAsia="en-US"/>
        </w:rPr>
        <w:t>мг и 105</w:t>
      </w:r>
      <w:r w:rsidR="00A42477" w:rsidRPr="000B1DEB">
        <w:rPr>
          <w:szCs w:val="28"/>
          <w:lang w:val="en-GB" w:eastAsia="en-US"/>
        </w:rPr>
        <w:t> </w:t>
      </w:r>
      <w:r w:rsidR="00A42477" w:rsidRPr="000B1DEB">
        <w:rPr>
          <w:szCs w:val="28"/>
          <w:lang w:eastAsia="en-US"/>
        </w:rPr>
        <w:t>мг в течение 3</w:t>
      </w:r>
      <w:r w:rsidR="00A42477" w:rsidRPr="000B1DEB">
        <w:rPr>
          <w:szCs w:val="28"/>
          <w:lang w:val="en-GB" w:eastAsia="en-US"/>
        </w:rPr>
        <w:t> </w:t>
      </w:r>
      <w:r w:rsidR="00A42477" w:rsidRPr="000B1DEB">
        <w:rPr>
          <w:szCs w:val="28"/>
          <w:lang w:eastAsia="en-US"/>
        </w:rPr>
        <w:t>дней соответственно) была связана с симптомами повышенной утомляемо</w:t>
      </w:r>
      <w:r w:rsidR="007C0AD2" w:rsidRPr="000B1DEB">
        <w:rPr>
          <w:szCs w:val="28"/>
          <w:lang w:eastAsia="en-US"/>
        </w:rPr>
        <w:t>сти, слабости и/или диареей, либо</w:t>
      </w:r>
      <w:r w:rsidR="00A42477" w:rsidRPr="000B1DEB">
        <w:rPr>
          <w:szCs w:val="28"/>
          <w:lang w:eastAsia="en-US"/>
        </w:rPr>
        <w:t xml:space="preserve"> имела бессимптомное течение. При передозировке до</w:t>
      </w:r>
      <w:r w:rsidR="00EA719A" w:rsidRPr="000B1DEB">
        <w:rPr>
          <w:szCs w:val="28"/>
          <w:lang w:eastAsia="en-US"/>
        </w:rPr>
        <w:t>зой до</w:t>
      </w:r>
      <w:r w:rsidR="00A42477" w:rsidRPr="000B1DEB">
        <w:rPr>
          <w:szCs w:val="28"/>
          <w:lang w:eastAsia="en-US"/>
        </w:rPr>
        <w:t xml:space="preserve"> 140</w:t>
      </w:r>
      <w:r w:rsidR="00A42477" w:rsidRPr="000B1DEB">
        <w:rPr>
          <w:szCs w:val="28"/>
          <w:lang w:val="en-GB" w:eastAsia="en-US"/>
        </w:rPr>
        <w:t> </w:t>
      </w:r>
      <w:r w:rsidR="00A42477" w:rsidRPr="000B1DEB">
        <w:rPr>
          <w:szCs w:val="28"/>
          <w:lang w:eastAsia="en-US"/>
        </w:rPr>
        <w:t xml:space="preserve">мг или не установленной дозой у пациентов наблюдали симптомы со стороны ЦНС (спутанность сознания, </w:t>
      </w:r>
      <w:r w:rsidR="00A42477" w:rsidRPr="000B1DEB">
        <w:rPr>
          <w:szCs w:val="28"/>
          <w:lang w:eastAsia="en-US"/>
        </w:rPr>
        <w:lastRenderedPageBreak/>
        <w:t xml:space="preserve">вялость, сонливость, головокружение, </w:t>
      </w:r>
      <w:r w:rsidR="00051E35" w:rsidRPr="000B1DEB">
        <w:rPr>
          <w:szCs w:val="28"/>
        </w:rPr>
        <w:t>возбуждение, агрессия</w:t>
      </w:r>
      <w:r w:rsidR="00A42477" w:rsidRPr="000B1DEB">
        <w:rPr>
          <w:szCs w:val="28"/>
          <w:lang w:eastAsia="en-US"/>
        </w:rPr>
        <w:t>, галлюцинации, нарушения походки) и/или желудочно-кишечные симптомы (рвота и диарея).</w:t>
      </w:r>
    </w:p>
    <w:p w:rsidR="00A42477" w:rsidRPr="000B1DEB" w:rsidRDefault="00A441EF" w:rsidP="00A42477">
      <w:pPr>
        <w:widowControl/>
        <w:jc w:val="both"/>
        <w:rPr>
          <w:szCs w:val="28"/>
          <w:lang w:eastAsia="en-US"/>
        </w:rPr>
      </w:pPr>
      <w:r w:rsidRPr="000B1DEB">
        <w:rPr>
          <w:szCs w:val="28"/>
        </w:rPr>
        <w:t xml:space="preserve">После приема 2000 мг мемантина у пациента развилась кома в течение 10 дней, позже – диплопия и возбуждения. </w:t>
      </w:r>
      <w:r w:rsidR="00A42477" w:rsidRPr="000B1DEB">
        <w:rPr>
          <w:szCs w:val="28"/>
          <w:lang w:eastAsia="en-US"/>
        </w:rPr>
        <w:t>После симптоматического лечения и плазмафереза пациент выздоровел без последствий.</w:t>
      </w:r>
    </w:p>
    <w:p w:rsidR="00A42477" w:rsidRPr="000B1DEB" w:rsidRDefault="00A42477" w:rsidP="00A42477">
      <w:pPr>
        <w:widowControl/>
        <w:jc w:val="both"/>
        <w:rPr>
          <w:szCs w:val="28"/>
          <w:lang w:eastAsia="en-US"/>
        </w:rPr>
      </w:pPr>
      <w:r w:rsidRPr="000B1DEB">
        <w:rPr>
          <w:szCs w:val="28"/>
          <w:lang w:eastAsia="en-US"/>
        </w:rPr>
        <w:t>Также в другом случае передозировки пациент выжил и выздоровел после применения внутрь 400 мг мемантина. У пациента наблюдали такие симптомы ЦНС, как беспокойство, психоз, зрительные галлюцинации, склонность к судорогам, сонливость, ступор и беспамятство.</w:t>
      </w:r>
    </w:p>
    <w:p w:rsidR="00E553EF" w:rsidRPr="000B1DEB" w:rsidRDefault="00A42477" w:rsidP="000F2873">
      <w:pPr>
        <w:widowControl/>
        <w:jc w:val="both"/>
        <w:rPr>
          <w:szCs w:val="28"/>
          <w:lang w:eastAsia="en-US"/>
        </w:rPr>
      </w:pPr>
      <w:r w:rsidRPr="000B1DEB">
        <w:rPr>
          <w:i/>
          <w:szCs w:val="28"/>
          <w:lang w:eastAsia="en-US"/>
        </w:rPr>
        <w:t>Лечение</w:t>
      </w:r>
      <w:r w:rsidR="000F2873" w:rsidRPr="000B1DEB">
        <w:rPr>
          <w:szCs w:val="28"/>
          <w:lang w:val="lv-LV" w:eastAsia="en-US"/>
        </w:rPr>
        <w:t>:</w:t>
      </w:r>
      <w:r w:rsidRPr="000B1DEB">
        <w:rPr>
          <w:szCs w:val="28"/>
          <w:lang w:eastAsia="en-US"/>
        </w:rPr>
        <w:t xml:space="preserve"> </w:t>
      </w:r>
      <w:r w:rsidR="000F2873" w:rsidRPr="000B1DEB">
        <w:rPr>
          <w:szCs w:val="28"/>
          <w:lang w:eastAsia="en-US"/>
        </w:rPr>
        <w:t>с</w:t>
      </w:r>
      <w:r w:rsidR="00E553EF" w:rsidRPr="000B1DEB">
        <w:rPr>
          <w:szCs w:val="28"/>
        </w:rPr>
        <w:t>имптоматическое, специфического антидота не существует. Следует применить стандартные клинические процедуры для удаления действующего вещества из организма, например промывание желудка, прием активированного угля, методы подкисления реакции мочи, форсированный диурез.</w:t>
      </w:r>
    </w:p>
    <w:p w:rsidR="00E553EF" w:rsidRPr="000B1DEB" w:rsidRDefault="00E553EF" w:rsidP="00E553EF">
      <w:pPr>
        <w:jc w:val="both"/>
        <w:rPr>
          <w:szCs w:val="28"/>
        </w:rPr>
      </w:pPr>
      <w:r w:rsidRPr="000B1DEB">
        <w:rPr>
          <w:szCs w:val="28"/>
        </w:rPr>
        <w:t>В случае чрезмерной общей стимуляции центральной нервной системы симптоматические лечебные мероприятия следует применять с осторожностью.</w:t>
      </w:r>
    </w:p>
    <w:p w:rsidR="006B224E" w:rsidRPr="000B1DEB" w:rsidRDefault="006B224E" w:rsidP="00396194">
      <w:pPr>
        <w:jc w:val="both"/>
        <w:rPr>
          <w:b/>
          <w:color w:val="000000"/>
          <w:szCs w:val="28"/>
        </w:rPr>
      </w:pPr>
    </w:p>
    <w:p w:rsidR="00396194" w:rsidRPr="000B1DEB" w:rsidRDefault="00396194" w:rsidP="00396194">
      <w:pPr>
        <w:jc w:val="both"/>
        <w:rPr>
          <w:b/>
          <w:color w:val="000000"/>
          <w:szCs w:val="28"/>
          <w:lang w:val="lv-LV"/>
        </w:rPr>
      </w:pPr>
      <w:r w:rsidRPr="000B1DEB">
        <w:rPr>
          <w:b/>
          <w:color w:val="000000"/>
          <w:szCs w:val="28"/>
        </w:rPr>
        <w:t>Форма выпуска и упаковка</w:t>
      </w:r>
    </w:p>
    <w:p w:rsidR="00235C5A" w:rsidRPr="000B1DEB" w:rsidRDefault="00235C5A" w:rsidP="00235C5A">
      <w:pPr>
        <w:widowControl/>
        <w:jc w:val="both"/>
        <w:rPr>
          <w:snapToGrid w:val="0"/>
          <w:color w:val="000000"/>
          <w:szCs w:val="28"/>
          <w:lang w:eastAsia="en-US"/>
        </w:rPr>
      </w:pPr>
      <w:r w:rsidRPr="000B1DEB">
        <w:rPr>
          <w:snapToGrid w:val="0"/>
          <w:color w:val="000000"/>
          <w:szCs w:val="28"/>
          <w:lang w:eastAsia="en-US"/>
        </w:rPr>
        <w:t xml:space="preserve">По </w:t>
      </w:r>
      <w:r w:rsidRPr="000B1DEB">
        <w:rPr>
          <w:snapToGrid w:val="0"/>
          <w:color w:val="000000"/>
          <w:szCs w:val="28"/>
          <w:lang w:val="lv-LV" w:eastAsia="en-US"/>
        </w:rPr>
        <w:t>10</w:t>
      </w:r>
      <w:r w:rsidRPr="000B1DEB">
        <w:rPr>
          <w:snapToGrid w:val="0"/>
          <w:color w:val="000000"/>
          <w:szCs w:val="28"/>
          <w:lang w:eastAsia="en-US"/>
        </w:rPr>
        <w:t> таблеток в контурной ячейковой упаковке из пленки поливинилхлоридной</w:t>
      </w:r>
      <w:r w:rsidR="00EC2966" w:rsidRPr="000B1DEB">
        <w:rPr>
          <w:snapToGrid w:val="0"/>
          <w:color w:val="000000"/>
          <w:szCs w:val="28"/>
          <w:lang w:eastAsia="en-US"/>
        </w:rPr>
        <w:t xml:space="preserve"> и фольги алюминиевой</w:t>
      </w:r>
      <w:r w:rsidRPr="000B1DEB">
        <w:rPr>
          <w:snapToGrid w:val="0"/>
          <w:color w:val="000000"/>
          <w:szCs w:val="28"/>
          <w:lang w:eastAsia="en-US"/>
        </w:rPr>
        <w:t>.</w:t>
      </w:r>
    </w:p>
    <w:p w:rsidR="00396194" w:rsidRPr="000B1DEB" w:rsidRDefault="00235C5A" w:rsidP="00396194">
      <w:pPr>
        <w:jc w:val="both"/>
        <w:rPr>
          <w:snapToGrid w:val="0"/>
          <w:color w:val="000000"/>
          <w:szCs w:val="28"/>
          <w:lang w:val="lv-LV" w:eastAsia="en-US"/>
        </w:rPr>
      </w:pPr>
      <w:r w:rsidRPr="000B1DEB">
        <w:rPr>
          <w:snapToGrid w:val="0"/>
          <w:color w:val="000000"/>
          <w:szCs w:val="28"/>
          <w:lang w:eastAsia="en-US"/>
        </w:rPr>
        <w:t>По</w:t>
      </w:r>
      <w:r w:rsidRPr="000B1DEB">
        <w:rPr>
          <w:snapToGrid w:val="0"/>
          <w:color w:val="000000"/>
          <w:szCs w:val="28"/>
          <w:lang w:val="lv-LV" w:eastAsia="en-US"/>
        </w:rPr>
        <w:t xml:space="preserve"> </w:t>
      </w:r>
      <w:r w:rsidRPr="000B1DEB">
        <w:rPr>
          <w:snapToGrid w:val="0"/>
          <w:color w:val="000000"/>
          <w:szCs w:val="28"/>
          <w:lang w:eastAsia="en-US"/>
        </w:rPr>
        <w:t>3</w:t>
      </w:r>
      <w:r w:rsidRPr="000B1DEB">
        <w:rPr>
          <w:snapToGrid w:val="0"/>
          <w:color w:val="000000"/>
          <w:szCs w:val="28"/>
          <w:lang w:val="lv-LV" w:eastAsia="en-US"/>
        </w:rPr>
        <w:t>,</w:t>
      </w:r>
      <w:r w:rsidRPr="000B1DEB">
        <w:rPr>
          <w:snapToGrid w:val="0"/>
          <w:color w:val="000000"/>
          <w:szCs w:val="28"/>
          <w:lang w:eastAsia="en-US"/>
        </w:rPr>
        <w:t xml:space="preserve"> </w:t>
      </w:r>
      <w:r w:rsidRPr="000B1DEB">
        <w:rPr>
          <w:snapToGrid w:val="0"/>
          <w:color w:val="000000"/>
          <w:szCs w:val="28"/>
          <w:lang w:val="lv-LV" w:eastAsia="en-US"/>
        </w:rPr>
        <w:t xml:space="preserve">6 </w:t>
      </w:r>
      <w:r w:rsidRPr="000B1DEB">
        <w:rPr>
          <w:snapToGrid w:val="0"/>
          <w:color w:val="000000"/>
          <w:szCs w:val="28"/>
          <w:lang w:eastAsia="en-US"/>
        </w:rPr>
        <w:t xml:space="preserve">или 9 контурных ячейковых упаковок </w:t>
      </w:r>
      <w:r w:rsidR="00C34B55" w:rsidRPr="004D1FFF">
        <w:rPr>
          <w:szCs w:val="28"/>
        </w:rPr>
        <w:t>вместе с инструкцией по медицинскому применению на государственном и</w:t>
      </w:r>
      <w:r w:rsidR="00D87BB1" w:rsidRPr="004D1FFF">
        <w:rPr>
          <w:szCs w:val="28"/>
        </w:rPr>
        <w:t xml:space="preserve"> </w:t>
      </w:r>
      <w:r w:rsidR="00C34B55" w:rsidRPr="004D1FFF">
        <w:rPr>
          <w:szCs w:val="28"/>
        </w:rPr>
        <w:t xml:space="preserve">русском языках помещают </w:t>
      </w:r>
      <w:r w:rsidR="00C70E4C" w:rsidRPr="000B1DEB">
        <w:rPr>
          <w:snapToGrid w:val="0"/>
          <w:color w:val="000000"/>
          <w:szCs w:val="28"/>
          <w:lang w:eastAsia="en-US"/>
        </w:rPr>
        <w:t>в пачку из картона</w:t>
      </w:r>
      <w:r w:rsidR="00C34B55" w:rsidRPr="004D1FFF">
        <w:rPr>
          <w:szCs w:val="28"/>
        </w:rPr>
        <w:t>.</w:t>
      </w:r>
    </w:p>
    <w:p w:rsidR="00FA6708" w:rsidRPr="000B1DEB" w:rsidRDefault="00FA6708" w:rsidP="00396194">
      <w:pPr>
        <w:jc w:val="both"/>
        <w:rPr>
          <w:b/>
          <w:color w:val="000000"/>
          <w:szCs w:val="28"/>
        </w:rPr>
      </w:pPr>
    </w:p>
    <w:p w:rsidR="00864DF2" w:rsidRPr="000B1DEB" w:rsidRDefault="00396194" w:rsidP="00396194">
      <w:pPr>
        <w:jc w:val="both"/>
        <w:rPr>
          <w:b/>
          <w:color w:val="000000"/>
          <w:szCs w:val="28"/>
        </w:rPr>
      </w:pPr>
      <w:r w:rsidRPr="000B1DEB">
        <w:rPr>
          <w:b/>
          <w:color w:val="000000"/>
          <w:szCs w:val="28"/>
        </w:rPr>
        <w:t>Условия хранения</w:t>
      </w:r>
    </w:p>
    <w:p w:rsidR="004D1895" w:rsidRPr="000B1DEB" w:rsidRDefault="004D1895" w:rsidP="00B35758">
      <w:pPr>
        <w:jc w:val="both"/>
        <w:rPr>
          <w:szCs w:val="28"/>
          <w:lang w:eastAsia="en-US"/>
        </w:rPr>
      </w:pPr>
      <w:r w:rsidRPr="000B1DEB">
        <w:rPr>
          <w:szCs w:val="28"/>
          <w:lang w:eastAsia="en-US"/>
        </w:rPr>
        <w:t>Хранить при температуре не выше 25 </w:t>
      </w:r>
      <w:r w:rsidRPr="000B1DEB">
        <w:rPr>
          <w:szCs w:val="28"/>
          <w:lang w:eastAsia="en-US"/>
        </w:rPr>
        <w:sym w:font="Symbol" w:char="F0B0"/>
      </w:r>
      <w:r w:rsidRPr="000B1DEB">
        <w:rPr>
          <w:szCs w:val="28"/>
          <w:lang w:eastAsia="en-US"/>
        </w:rPr>
        <w:t>С.</w:t>
      </w:r>
    </w:p>
    <w:p w:rsidR="00396194" w:rsidRPr="000B1DEB" w:rsidRDefault="00396194" w:rsidP="00396194">
      <w:pPr>
        <w:jc w:val="both"/>
        <w:rPr>
          <w:bCs/>
          <w:color w:val="000000"/>
          <w:szCs w:val="28"/>
        </w:rPr>
      </w:pPr>
      <w:r w:rsidRPr="000B1DEB">
        <w:rPr>
          <w:bCs/>
          <w:color w:val="000000"/>
          <w:szCs w:val="28"/>
        </w:rPr>
        <w:t>Хранить в недоступном для детей месте!</w:t>
      </w:r>
    </w:p>
    <w:p w:rsidR="00396194" w:rsidRPr="000B1DEB" w:rsidRDefault="00396194" w:rsidP="00396194">
      <w:pPr>
        <w:jc w:val="both"/>
        <w:rPr>
          <w:bCs/>
          <w:color w:val="000000"/>
          <w:szCs w:val="28"/>
        </w:rPr>
      </w:pPr>
    </w:p>
    <w:p w:rsidR="00396194" w:rsidRPr="000B1DEB" w:rsidRDefault="00396194" w:rsidP="00396194">
      <w:pPr>
        <w:jc w:val="both"/>
        <w:rPr>
          <w:b/>
          <w:bCs/>
          <w:color w:val="000000"/>
          <w:szCs w:val="28"/>
        </w:rPr>
      </w:pPr>
      <w:r w:rsidRPr="000B1DEB">
        <w:rPr>
          <w:b/>
          <w:bCs/>
          <w:color w:val="000000"/>
          <w:szCs w:val="28"/>
        </w:rPr>
        <w:t>Срок хранения</w:t>
      </w:r>
    </w:p>
    <w:p w:rsidR="00396194" w:rsidRPr="000B1DEB" w:rsidRDefault="00396194" w:rsidP="00396194">
      <w:pPr>
        <w:jc w:val="both"/>
        <w:rPr>
          <w:b/>
          <w:color w:val="000000"/>
          <w:szCs w:val="28"/>
          <w:lang w:val="lv-LV"/>
        </w:rPr>
      </w:pPr>
      <w:r w:rsidRPr="000B1DEB">
        <w:rPr>
          <w:szCs w:val="28"/>
          <w:lang w:val="lv-LV"/>
        </w:rPr>
        <w:t>4 </w:t>
      </w:r>
      <w:r w:rsidRPr="000B1DEB">
        <w:rPr>
          <w:szCs w:val="28"/>
        </w:rPr>
        <w:t>года</w:t>
      </w:r>
      <w:r w:rsidRPr="000B1DEB">
        <w:rPr>
          <w:color w:val="000000"/>
          <w:szCs w:val="28"/>
          <w:lang w:val="lv-LV"/>
        </w:rPr>
        <w:t>.</w:t>
      </w:r>
    </w:p>
    <w:p w:rsidR="00396194" w:rsidRPr="000B1DEB" w:rsidRDefault="00396194" w:rsidP="00396194">
      <w:pPr>
        <w:jc w:val="both"/>
        <w:rPr>
          <w:color w:val="000000"/>
          <w:szCs w:val="28"/>
        </w:rPr>
      </w:pPr>
      <w:r w:rsidRPr="000B1DEB">
        <w:rPr>
          <w:color w:val="000000"/>
          <w:szCs w:val="28"/>
        </w:rPr>
        <w:t>Не применять по истечении срока годности.</w:t>
      </w:r>
    </w:p>
    <w:p w:rsidR="00396194" w:rsidRPr="000B1DEB" w:rsidRDefault="00396194" w:rsidP="00396194">
      <w:pPr>
        <w:jc w:val="both"/>
        <w:rPr>
          <w:color w:val="000000"/>
          <w:szCs w:val="28"/>
        </w:rPr>
      </w:pPr>
    </w:p>
    <w:p w:rsidR="00396194" w:rsidRPr="000B1DEB" w:rsidRDefault="00396194" w:rsidP="00396194">
      <w:pPr>
        <w:jc w:val="both"/>
        <w:rPr>
          <w:b/>
          <w:color w:val="000000"/>
          <w:szCs w:val="28"/>
          <w:lang w:val="lv-LV"/>
        </w:rPr>
      </w:pPr>
      <w:r w:rsidRPr="000B1DEB">
        <w:rPr>
          <w:b/>
          <w:color w:val="000000"/>
          <w:szCs w:val="28"/>
        </w:rPr>
        <w:t>Условия отпуска</w:t>
      </w:r>
      <w:r w:rsidR="00344C5A" w:rsidRPr="000B1DEB">
        <w:rPr>
          <w:b/>
          <w:color w:val="000000"/>
          <w:szCs w:val="28"/>
          <w:lang w:val="lv-LV"/>
        </w:rPr>
        <w:t xml:space="preserve"> из аптек</w:t>
      </w:r>
    </w:p>
    <w:p w:rsidR="00396194" w:rsidRPr="000B1DEB" w:rsidRDefault="00396194" w:rsidP="00396194">
      <w:pPr>
        <w:jc w:val="both"/>
        <w:rPr>
          <w:color w:val="000000"/>
          <w:szCs w:val="28"/>
        </w:rPr>
      </w:pPr>
      <w:r w:rsidRPr="000B1DEB">
        <w:rPr>
          <w:color w:val="000000"/>
          <w:szCs w:val="28"/>
        </w:rPr>
        <w:t>По рецепту</w:t>
      </w:r>
    </w:p>
    <w:p w:rsidR="0025199C" w:rsidRPr="000B1DEB" w:rsidRDefault="0025199C" w:rsidP="0025199C">
      <w:pPr>
        <w:jc w:val="both"/>
        <w:rPr>
          <w:b/>
          <w:color w:val="000000"/>
          <w:szCs w:val="28"/>
        </w:rPr>
      </w:pPr>
    </w:p>
    <w:p w:rsidR="0025199C" w:rsidRPr="000B1DEB" w:rsidRDefault="0025199C" w:rsidP="0025199C">
      <w:pPr>
        <w:jc w:val="both"/>
        <w:rPr>
          <w:b/>
          <w:color w:val="000000"/>
          <w:szCs w:val="28"/>
        </w:rPr>
      </w:pPr>
      <w:r w:rsidRPr="000B1DEB">
        <w:rPr>
          <w:b/>
          <w:color w:val="000000"/>
          <w:szCs w:val="28"/>
        </w:rPr>
        <w:t xml:space="preserve">Производитель </w:t>
      </w:r>
    </w:p>
    <w:p w:rsidR="0025199C" w:rsidRPr="000B1DEB" w:rsidRDefault="0025199C" w:rsidP="0025199C">
      <w:pPr>
        <w:jc w:val="both"/>
        <w:rPr>
          <w:color w:val="000000"/>
          <w:szCs w:val="28"/>
          <w:lang w:val="lv-LV"/>
        </w:rPr>
      </w:pPr>
      <w:r w:rsidRPr="000B1DEB">
        <w:rPr>
          <w:color w:val="000000"/>
          <w:szCs w:val="28"/>
        </w:rPr>
        <w:t>АО «Гриндекс».</w:t>
      </w:r>
    </w:p>
    <w:p w:rsidR="0025199C" w:rsidRPr="000B1DEB" w:rsidRDefault="0025199C" w:rsidP="0025199C">
      <w:pPr>
        <w:jc w:val="both"/>
        <w:rPr>
          <w:color w:val="000000"/>
          <w:szCs w:val="28"/>
        </w:rPr>
      </w:pPr>
      <w:r w:rsidRPr="000B1DEB">
        <w:rPr>
          <w:color w:val="000000"/>
          <w:szCs w:val="28"/>
        </w:rPr>
        <w:t>Ул. Крустпилс, 53, Рига, LV-1057, Латвия</w:t>
      </w:r>
    </w:p>
    <w:p w:rsidR="00CE2845" w:rsidRPr="000B1DEB" w:rsidRDefault="00CE2845" w:rsidP="00CE2845">
      <w:pPr>
        <w:jc w:val="both"/>
        <w:rPr>
          <w:b/>
          <w:szCs w:val="28"/>
        </w:rPr>
      </w:pPr>
    </w:p>
    <w:p w:rsidR="00CE2845" w:rsidRPr="000B1DEB" w:rsidRDefault="00CE2845" w:rsidP="00CE2845">
      <w:pPr>
        <w:jc w:val="both"/>
        <w:rPr>
          <w:b/>
          <w:szCs w:val="28"/>
        </w:rPr>
      </w:pPr>
      <w:r w:rsidRPr="000B1DEB">
        <w:rPr>
          <w:b/>
          <w:szCs w:val="28"/>
        </w:rPr>
        <w:t>Владелец регистрационного удостоверения</w:t>
      </w:r>
    </w:p>
    <w:p w:rsidR="00CE2845" w:rsidRPr="000B1DEB" w:rsidRDefault="00CE2845" w:rsidP="00CE2845">
      <w:pPr>
        <w:jc w:val="both"/>
        <w:rPr>
          <w:szCs w:val="28"/>
        </w:rPr>
      </w:pPr>
      <w:r w:rsidRPr="000B1DEB">
        <w:rPr>
          <w:szCs w:val="28"/>
        </w:rPr>
        <w:t>АО «Гриндекс», Латвия</w:t>
      </w:r>
    </w:p>
    <w:p w:rsidR="00396194" w:rsidRPr="000B1DEB" w:rsidRDefault="00396194" w:rsidP="00396194">
      <w:pPr>
        <w:jc w:val="both"/>
        <w:rPr>
          <w:szCs w:val="28"/>
        </w:rPr>
      </w:pPr>
    </w:p>
    <w:p w:rsidR="00FB2D90" w:rsidRDefault="00FB2D90">
      <w:pPr>
        <w:widowControl/>
        <w:spacing w:after="200" w:line="276" w:lineRule="auto"/>
        <w:rPr>
          <w:b/>
          <w:i/>
          <w:iCs/>
          <w:szCs w:val="28"/>
          <w:lang w:val="kk-KZ"/>
        </w:rPr>
      </w:pPr>
      <w:r>
        <w:rPr>
          <w:b/>
          <w:i/>
          <w:iCs/>
          <w:szCs w:val="28"/>
          <w:lang w:val="kk-KZ"/>
        </w:rPr>
        <w:br w:type="page"/>
      </w:r>
    </w:p>
    <w:p w:rsidR="00645D69" w:rsidRPr="000B1DEB" w:rsidRDefault="00645D69" w:rsidP="00645D69">
      <w:pPr>
        <w:pStyle w:val="2"/>
        <w:spacing w:after="0" w:line="240" w:lineRule="auto"/>
        <w:jc w:val="both"/>
        <w:rPr>
          <w:b/>
          <w:szCs w:val="28"/>
          <w:lang w:eastAsia="de-DE"/>
        </w:rPr>
      </w:pPr>
      <w:r w:rsidRPr="000B1DEB">
        <w:rPr>
          <w:b/>
          <w:i/>
          <w:iCs/>
          <w:szCs w:val="28"/>
          <w:lang w:val="kk-KZ"/>
        </w:rPr>
        <w:lastRenderedPageBreak/>
        <w:t>Наименование, адрес и контактные данные (телефон, факс, электронная почта) организации</w:t>
      </w:r>
      <w:r w:rsidRPr="000B1DEB">
        <w:rPr>
          <w:b/>
          <w:i/>
          <w:iCs/>
          <w:color w:val="000000"/>
          <w:szCs w:val="28"/>
          <w:lang w:val="kk-KZ"/>
        </w:rPr>
        <w:t xml:space="preserve"> </w:t>
      </w:r>
      <w:r w:rsidRPr="000B1DEB">
        <w:rPr>
          <w:b/>
          <w:i/>
          <w:iCs/>
          <w:color w:val="000000"/>
          <w:szCs w:val="28"/>
        </w:rPr>
        <w:t>на территории Республики Казахстан, принимающей претензии (предложе</w:t>
      </w:r>
      <w:r w:rsidR="007E5796" w:rsidRPr="000B1DEB">
        <w:rPr>
          <w:b/>
          <w:i/>
          <w:iCs/>
          <w:color w:val="000000"/>
          <w:szCs w:val="28"/>
        </w:rPr>
        <w:t>ния) по качеству лекарственных средств от потребителей и</w:t>
      </w:r>
      <w:r w:rsidRPr="000B1DEB">
        <w:rPr>
          <w:b/>
          <w:i/>
          <w:iCs/>
          <w:color w:val="000000"/>
          <w:szCs w:val="28"/>
        </w:rPr>
        <w:t xml:space="preserve"> </w:t>
      </w:r>
      <w:proofErr w:type="spellStart"/>
      <w:r w:rsidRPr="000B1DEB">
        <w:rPr>
          <w:b/>
          <w:i/>
          <w:iCs/>
          <w:color w:val="000000"/>
          <w:szCs w:val="28"/>
          <w:lang w:val="de-DE" w:eastAsia="de-DE"/>
        </w:rPr>
        <w:t>ответственной</w:t>
      </w:r>
      <w:proofErr w:type="spellEnd"/>
      <w:r w:rsidRPr="000B1DEB">
        <w:rPr>
          <w:b/>
          <w:i/>
          <w:iCs/>
          <w:color w:val="000000"/>
          <w:szCs w:val="28"/>
          <w:lang w:val="de-DE" w:eastAsia="de-DE"/>
        </w:rPr>
        <w:t xml:space="preserve"> </w:t>
      </w:r>
      <w:proofErr w:type="spellStart"/>
      <w:r w:rsidRPr="000B1DEB">
        <w:rPr>
          <w:b/>
          <w:i/>
          <w:iCs/>
          <w:color w:val="000000"/>
          <w:szCs w:val="28"/>
          <w:lang w:val="de-DE" w:eastAsia="de-DE"/>
        </w:rPr>
        <w:t>за</w:t>
      </w:r>
      <w:proofErr w:type="spellEnd"/>
      <w:r w:rsidRPr="000B1DEB">
        <w:rPr>
          <w:b/>
          <w:i/>
          <w:iCs/>
          <w:color w:val="000000"/>
          <w:szCs w:val="28"/>
          <w:lang w:val="de-DE" w:eastAsia="de-DE"/>
        </w:rPr>
        <w:t xml:space="preserve"> </w:t>
      </w:r>
      <w:proofErr w:type="spellStart"/>
      <w:r w:rsidRPr="000B1DEB">
        <w:rPr>
          <w:b/>
          <w:i/>
          <w:iCs/>
          <w:color w:val="000000"/>
          <w:szCs w:val="28"/>
          <w:lang w:val="de-DE" w:eastAsia="de-DE"/>
        </w:rPr>
        <w:t>пострегистрационное</w:t>
      </w:r>
      <w:proofErr w:type="spellEnd"/>
      <w:r w:rsidRPr="000B1DEB">
        <w:rPr>
          <w:b/>
          <w:i/>
          <w:iCs/>
          <w:color w:val="000000"/>
          <w:szCs w:val="28"/>
          <w:lang w:val="de-DE" w:eastAsia="de-DE"/>
        </w:rPr>
        <w:t xml:space="preserve"> </w:t>
      </w:r>
      <w:proofErr w:type="spellStart"/>
      <w:r w:rsidRPr="000B1DEB">
        <w:rPr>
          <w:b/>
          <w:i/>
          <w:iCs/>
          <w:color w:val="000000"/>
          <w:szCs w:val="28"/>
          <w:lang w:val="de-DE" w:eastAsia="de-DE"/>
        </w:rPr>
        <w:t>наблюдение</w:t>
      </w:r>
      <w:proofErr w:type="spellEnd"/>
      <w:r w:rsidRPr="000B1DEB">
        <w:rPr>
          <w:b/>
          <w:i/>
          <w:iCs/>
          <w:color w:val="000000"/>
          <w:szCs w:val="28"/>
          <w:lang w:val="de-DE" w:eastAsia="de-DE"/>
        </w:rPr>
        <w:t xml:space="preserve"> </w:t>
      </w:r>
      <w:proofErr w:type="spellStart"/>
      <w:r w:rsidRPr="000B1DEB">
        <w:rPr>
          <w:b/>
          <w:i/>
          <w:iCs/>
          <w:color w:val="000000"/>
          <w:szCs w:val="28"/>
          <w:lang w:val="de-DE" w:eastAsia="de-DE"/>
        </w:rPr>
        <w:t>за</w:t>
      </w:r>
      <w:proofErr w:type="spellEnd"/>
      <w:r w:rsidRPr="000B1DEB">
        <w:rPr>
          <w:b/>
          <w:i/>
          <w:iCs/>
          <w:color w:val="000000"/>
          <w:szCs w:val="28"/>
          <w:lang w:val="de-DE" w:eastAsia="de-DE"/>
        </w:rPr>
        <w:t xml:space="preserve"> </w:t>
      </w:r>
      <w:proofErr w:type="spellStart"/>
      <w:r w:rsidRPr="000B1DEB">
        <w:rPr>
          <w:b/>
          <w:i/>
          <w:iCs/>
          <w:color w:val="000000"/>
          <w:szCs w:val="28"/>
          <w:lang w:val="de-DE" w:eastAsia="de-DE"/>
        </w:rPr>
        <w:t>безопасностью</w:t>
      </w:r>
      <w:proofErr w:type="spellEnd"/>
      <w:r w:rsidRPr="000B1DEB">
        <w:rPr>
          <w:b/>
          <w:i/>
          <w:iCs/>
          <w:color w:val="000000"/>
          <w:szCs w:val="28"/>
          <w:lang w:val="de-DE" w:eastAsia="de-DE"/>
        </w:rPr>
        <w:t xml:space="preserve"> </w:t>
      </w:r>
      <w:proofErr w:type="spellStart"/>
      <w:r w:rsidRPr="000B1DEB">
        <w:rPr>
          <w:b/>
          <w:i/>
          <w:iCs/>
          <w:color w:val="000000"/>
          <w:szCs w:val="28"/>
          <w:lang w:val="de-DE" w:eastAsia="de-DE"/>
        </w:rPr>
        <w:t>лекарственного</w:t>
      </w:r>
      <w:proofErr w:type="spellEnd"/>
      <w:r w:rsidRPr="000B1DEB">
        <w:rPr>
          <w:b/>
          <w:i/>
          <w:iCs/>
          <w:color w:val="000000"/>
          <w:szCs w:val="28"/>
          <w:lang w:val="de-DE" w:eastAsia="de-DE"/>
        </w:rPr>
        <w:t xml:space="preserve"> </w:t>
      </w:r>
      <w:proofErr w:type="spellStart"/>
      <w:r w:rsidRPr="000B1DEB">
        <w:rPr>
          <w:b/>
          <w:i/>
          <w:iCs/>
          <w:color w:val="000000"/>
          <w:szCs w:val="28"/>
          <w:lang w:val="de-DE" w:eastAsia="de-DE"/>
        </w:rPr>
        <w:t>средства</w:t>
      </w:r>
      <w:proofErr w:type="spellEnd"/>
      <w:r w:rsidRPr="000B1DEB">
        <w:rPr>
          <w:b/>
          <w:i/>
          <w:iCs/>
          <w:szCs w:val="28"/>
          <w:lang w:val="de-DE" w:eastAsia="de-DE"/>
        </w:rPr>
        <w:t>:</w:t>
      </w:r>
    </w:p>
    <w:p w:rsidR="00396194" w:rsidRPr="000B1DEB" w:rsidRDefault="00396194" w:rsidP="00396194">
      <w:pPr>
        <w:jc w:val="both"/>
        <w:rPr>
          <w:szCs w:val="28"/>
        </w:rPr>
      </w:pPr>
      <w:r w:rsidRPr="000B1DEB">
        <w:rPr>
          <w:szCs w:val="28"/>
        </w:rPr>
        <w:t>Представительство АО «</w:t>
      </w:r>
      <w:proofErr w:type="spellStart"/>
      <w:r w:rsidRPr="000B1DEB">
        <w:rPr>
          <w:szCs w:val="28"/>
        </w:rPr>
        <w:t>Гриндекс</w:t>
      </w:r>
      <w:proofErr w:type="spellEnd"/>
      <w:r w:rsidRPr="000B1DEB">
        <w:rPr>
          <w:szCs w:val="28"/>
        </w:rPr>
        <w:t>»</w:t>
      </w:r>
    </w:p>
    <w:p w:rsidR="00396194" w:rsidRPr="000B1DEB" w:rsidRDefault="00396194" w:rsidP="00396194">
      <w:pPr>
        <w:widowControl/>
        <w:snapToGrid w:val="0"/>
        <w:spacing w:line="180" w:lineRule="atLeast"/>
        <w:jc w:val="both"/>
        <w:rPr>
          <w:szCs w:val="28"/>
          <w:lang w:eastAsia="en-US"/>
        </w:rPr>
      </w:pPr>
      <w:r w:rsidRPr="000B1DEB">
        <w:rPr>
          <w:szCs w:val="28"/>
          <w:lang w:eastAsia="en-US"/>
        </w:rPr>
        <w:t>050010, г. Алматы, пр. Достык,  угол ул. Богенбай батыра, д. 34а/87а, офис №1</w:t>
      </w:r>
    </w:p>
    <w:p w:rsidR="00396194" w:rsidRPr="000B1DEB" w:rsidRDefault="00396194" w:rsidP="00396194">
      <w:pPr>
        <w:widowControl/>
        <w:snapToGrid w:val="0"/>
        <w:spacing w:line="180" w:lineRule="atLeast"/>
        <w:jc w:val="both"/>
        <w:rPr>
          <w:szCs w:val="28"/>
          <w:lang w:eastAsia="en-US"/>
        </w:rPr>
      </w:pPr>
      <w:r w:rsidRPr="000B1DEB">
        <w:rPr>
          <w:szCs w:val="28"/>
          <w:lang w:eastAsia="en-US"/>
        </w:rPr>
        <w:t>т./ф. 291-88-77, 291-13-84</w:t>
      </w:r>
    </w:p>
    <w:p w:rsidR="003C4398" w:rsidRPr="000B1DEB" w:rsidRDefault="00396194" w:rsidP="00396194">
      <w:pPr>
        <w:widowControl/>
        <w:snapToGrid w:val="0"/>
        <w:spacing w:line="180" w:lineRule="atLeast"/>
        <w:jc w:val="both"/>
        <w:rPr>
          <w:szCs w:val="28"/>
          <w:lang w:val="lv-LV" w:eastAsia="en-US"/>
        </w:rPr>
      </w:pPr>
      <w:r w:rsidRPr="000B1DEB">
        <w:rPr>
          <w:szCs w:val="28"/>
          <w:lang w:eastAsia="en-US"/>
        </w:rPr>
        <w:t xml:space="preserve">эл. почта: </w:t>
      </w:r>
      <w:r w:rsidR="003C4398" w:rsidRPr="000B1DEB">
        <w:rPr>
          <w:szCs w:val="28"/>
          <w:lang w:eastAsia="en-US"/>
        </w:rPr>
        <w:t>grindeks.a</w:t>
      </w:r>
      <w:r w:rsidR="003C4398" w:rsidRPr="000B1DEB">
        <w:rPr>
          <w:szCs w:val="28"/>
          <w:lang w:val="lv-LV" w:eastAsia="en-US"/>
        </w:rPr>
        <w:t>s</w:t>
      </w:r>
      <w:r w:rsidR="003C4398" w:rsidRPr="000B1DEB">
        <w:rPr>
          <w:szCs w:val="28"/>
          <w:lang w:eastAsia="en-US"/>
        </w:rPr>
        <w:t>ia.kz@mail.r</w:t>
      </w:r>
      <w:r w:rsidR="003C4398" w:rsidRPr="000B1DEB">
        <w:rPr>
          <w:szCs w:val="28"/>
          <w:lang w:val="lv-LV" w:eastAsia="en-US"/>
        </w:rPr>
        <w:t>u</w:t>
      </w:r>
    </w:p>
    <w:p w:rsidR="003C4398" w:rsidRPr="000B1DEB" w:rsidRDefault="003C4398" w:rsidP="00396194">
      <w:pPr>
        <w:widowControl/>
        <w:snapToGrid w:val="0"/>
        <w:spacing w:line="180" w:lineRule="atLeast"/>
        <w:jc w:val="both"/>
        <w:rPr>
          <w:szCs w:val="28"/>
          <w:lang w:eastAsia="en-US"/>
        </w:rPr>
      </w:pPr>
    </w:p>
    <w:p w:rsidR="00EB4F57" w:rsidRPr="000B1DEB" w:rsidRDefault="00EB4F57" w:rsidP="00EB4F57">
      <w:pPr>
        <w:jc w:val="both"/>
        <w:rPr>
          <w:szCs w:val="28"/>
        </w:rPr>
      </w:pPr>
      <w:r w:rsidRPr="000B1DEB">
        <w:rPr>
          <w:b/>
          <w:color w:val="000000"/>
          <w:szCs w:val="28"/>
          <w:lang w:eastAsia="en-US"/>
        </w:rPr>
        <w:t xml:space="preserve">Дата последнего пересмотра: </w:t>
      </w:r>
      <w:r w:rsidR="00E85FDA" w:rsidRPr="000B1DEB">
        <w:rPr>
          <w:color w:val="000000"/>
          <w:szCs w:val="28"/>
          <w:lang w:eastAsia="en-US"/>
        </w:rPr>
        <w:t>апрель</w:t>
      </w:r>
      <w:r w:rsidR="00E03603" w:rsidRPr="000B1DEB">
        <w:rPr>
          <w:color w:val="000000"/>
          <w:szCs w:val="28"/>
          <w:lang w:eastAsia="en-US"/>
        </w:rPr>
        <w:t xml:space="preserve"> </w:t>
      </w:r>
      <w:r w:rsidRPr="000B1DEB">
        <w:rPr>
          <w:color w:val="000000"/>
          <w:szCs w:val="28"/>
          <w:lang w:eastAsia="en-US"/>
        </w:rPr>
        <w:t>201</w:t>
      </w:r>
      <w:r w:rsidR="007F185F" w:rsidRPr="000B1DEB">
        <w:rPr>
          <w:color w:val="000000"/>
          <w:szCs w:val="28"/>
          <w:lang w:eastAsia="en-US"/>
        </w:rPr>
        <w:t>8</w:t>
      </w:r>
      <w:r w:rsidRPr="000B1DEB">
        <w:rPr>
          <w:color w:val="000000"/>
          <w:szCs w:val="28"/>
          <w:lang w:eastAsia="en-US"/>
        </w:rPr>
        <w:t xml:space="preserve"> г.</w:t>
      </w:r>
    </w:p>
    <w:p w:rsidR="00EB4F57" w:rsidRPr="000B1DEB" w:rsidRDefault="00EB4F57" w:rsidP="00396194">
      <w:pPr>
        <w:widowControl/>
        <w:snapToGrid w:val="0"/>
        <w:spacing w:line="180" w:lineRule="atLeast"/>
        <w:jc w:val="both"/>
        <w:rPr>
          <w:szCs w:val="28"/>
          <w:lang w:eastAsia="en-US"/>
        </w:rPr>
      </w:pPr>
    </w:p>
    <w:sectPr w:rsidR="00EB4F57" w:rsidRPr="000B1DEB" w:rsidSect="00245E7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imTimes">
    <w:altName w:val="Times New Roman"/>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53E"/>
    <w:multiLevelType w:val="hybridMultilevel"/>
    <w:tmpl w:val="A8F06BF2"/>
    <w:lvl w:ilvl="0" w:tplc="CF36D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D78ED"/>
    <w:multiLevelType w:val="hybridMultilevel"/>
    <w:tmpl w:val="EEC22C76"/>
    <w:lvl w:ilvl="0" w:tplc="1B7A9F1C">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45F3019"/>
    <w:multiLevelType w:val="hybridMultilevel"/>
    <w:tmpl w:val="BEBCD594"/>
    <w:lvl w:ilvl="0" w:tplc="D1EA9FDA">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AF34A42"/>
    <w:multiLevelType w:val="hybridMultilevel"/>
    <w:tmpl w:val="5B342EE0"/>
    <w:lvl w:ilvl="0" w:tplc="1B7A9F1C">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E1B50EB"/>
    <w:multiLevelType w:val="hybridMultilevel"/>
    <w:tmpl w:val="3E547C18"/>
    <w:lvl w:ilvl="0" w:tplc="D1EA9FDA">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EC70DC0"/>
    <w:multiLevelType w:val="hybridMultilevel"/>
    <w:tmpl w:val="4D064FB0"/>
    <w:lvl w:ilvl="0" w:tplc="1B7A9F1C">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1B57846"/>
    <w:multiLevelType w:val="hybridMultilevel"/>
    <w:tmpl w:val="E592B9AE"/>
    <w:lvl w:ilvl="0" w:tplc="1B7A9F1C">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4E959CA"/>
    <w:multiLevelType w:val="hybridMultilevel"/>
    <w:tmpl w:val="D32CECF0"/>
    <w:lvl w:ilvl="0" w:tplc="D1EA9FDA">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56D1A65"/>
    <w:multiLevelType w:val="hybridMultilevel"/>
    <w:tmpl w:val="70C23182"/>
    <w:lvl w:ilvl="0" w:tplc="D1EA9FDA">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CC0186F"/>
    <w:multiLevelType w:val="hybridMultilevel"/>
    <w:tmpl w:val="FC90DA50"/>
    <w:lvl w:ilvl="0" w:tplc="1B7A9F1C">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3"/>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4D"/>
    <w:rsid w:val="00001D83"/>
    <w:rsid w:val="00002157"/>
    <w:rsid w:val="00013C59"/>
    <w:rsid w:val="00051E35"/>
    <w:rsid w:val="000531F3"/>
    <w:rsid w:val="00072B66"/>
    <w:rsid w:val="000763FE"/>
    <w:rsid w:val="0007747F"/>
    <w:rsid w:val="0008395E"/>
    <w:rsid w:val="00095094"/>
    <w:rsid w:val="000A18BF"/>
    <w:rsid w:val="000B1DEB"/>
    <w:rsid w:val="000E1C4C"/>
    <w:rsid w:val="000E3FE3"/>
    <w:rsid w:val="000F0685"/>
    <w:rsid w:val="000F2873"/>
    <w:rsid w:val="000F54DB"/>
    <w:rsid w:val="001045DC"/>
    <w:rsid w:val="001048BC"/>
    <w:rsid w:val="00107B95"/>
    <w:rsid w:val="001123E5"/>
    <w:rsid w:val="001164E5"/>
    <w:rsid w:val="00116E40"/>
    <w:rsid w:val="0013477D"/>
    <w:rsid w:val="001604AE"/>
    <w:rsid w:val="001665BD"/>
    <w:rsid w:val="00172AB0"/>
    <w:rsid w:val="001812E8"/>
    <w:rsid w:val="0019128B"/>
    <w:rsid w:val="001944EC"/>
    <w:rsid w:val="001B5E0E"/>
    <w:rsid w:val="001B76DD"/>
    <w:rsid w:val="001D2BE9"/>
    <w:rsid w:val="001F0D8F"/>
    <w:rsid w:val="001F3FB6"/>
    <w:rsid w:val="00202391"/>
    <w:rsid w:val="002025EB"/>
    <w:rsid w:val="00220EF6"/>
    <w:rsid w:val="002224C3"/>
    <w:rsid w:val="00222903"/>
    <w:rsid w:val="00227CF2"/>
    <w:rsid w:val="00235C5A"/>
    <w:rsid w:val="00237BC7"/>
    <w:rsid w:val="00245E7C"/>
    <w:rsid w:val="00247714"/>
    <w:rsid w:val="0025199C"/>
    <w:rsid w:val="00277953"/>
    <w:rsid w:val="002939B2"/>
    <w:rsid w:val="002964EF"/>
    <w:rsid w:val="002D3FD8"/>
    <w:rsid w:val="0030376C"/>
    <w:rsid w:val="00307C51"/>
    <w:rsid w:val="00331945"/>
    <w:rsid w:val="00344C5A"/>
    <w:rsid w:val="00357F83"/>
    <w:rsid w:val="00377402"/>
    <w:rsid w:val="00386D60"/>
    <w:rsid w:val="003871D9"/>
    <w:rsid w:val="00396194"/>
    <w:rsid w:val="003A0340"/>
    <w:rsid w:val="003C199E"/>
    <w:rsid w:val="003C1CFF"/>
    <w:rsid w:val="003C4398"/>
    <w:rsid w:val="003C63BB"/>
    <w:rsid w:val="003E63C0"/>
    <w:rsid w:val="004204DB"/>
    <w:rsid w:val="00431097"/>
    <w:rsid w:val="004356DE"/>
    <w:rsid w:val="004727D2"/>
    <w:rsid w:val="00473407"/>
    <w:rsid w:val="00495C46"/>
    <w:rsid w:val="004A4475"/>
    <w:rsid w:val="004A483E"/>
    <w:rsid w:val="004B266C"/>
    <w:rsid w:val="004D15E0"/>
    <w:rsid w:val="004D1895"/>
    <w:rsid w:val="004D1FFF"/>
    <w:rsid w:val="004D4510"/>
    <w:rsid w:val="004E1B9D"/>
    <w:rsid w:val="004E557B"/>
    <w:rsid w:val="004E6F7E"/>
    <w:rsid w:val="004F3E0D"/>
    <w:rsid w:val="0051029D"/>
    <w:rsid w:val="00514E25"/>
    <w:rsid w:val="00521820"/>
    <w:rsid w:val="005325FC"/>
    <w:rsid w:val="00534FD8"/>
    <w:rsid w:val="005357A0"/>
    <w:rsid w:val="00537855"/>
    <w:rsid w:val="005542D4"/>
    <w:rsid w:val="00575C4F"/>
    <w:rsid w:val="00584427"/>
    <w:rsid w:val="005976C2"/>
    <w:rsid w:val="005A35F3"/>
    <w:rsid w:val="005B64D6"/>
    <w:rsid w:val="005D2B0F"/>
    <w:rsid w:val="006001BB"/>
    <w:rsid w:val="00611B80"/>
    <w:rsid w:val="00617608"/>
    <w:rsid w:val="00645D69"/>
    <w:rsid w:val="00647CB7"/>
    <w:rsid w:val="006757E6"/>
    <w:rsid w:val="00681385"/>
    <w:rsid w:val="00684E65"/>
    <w:rsid w:val="006B224E"/>
    <w:rsid w:val="006B32C8"/>
    <w:rsid w:val="006D5C69"/>
    <w:rsid w:val="006E52A4"/>
    <w:rsid w:val="006F286A"/>
    <w:rsid w:val="006F3CA5"/>
    <w:rsid w:val="00713343"/>
    <w:rsid w:val="0076054A"/>
    <w:rsid w:val="00763141"/>
    <w:rsid w:val="00766A34"/>
    <w:rsid w:val="00770D55"/>
    <w:rsid w:val="007734B5"/>
    <w:rsid w:val="00783436"/>
    <w:rsid w:val="00796360"/>
    <w:rsid w:val="007C0AD2"/>
    <w:rsid w:val="007C42D5"/>
    <w:rsid w:val="007E5796"/>
    <w:rsid w:val="007F185F"/>
    <w:rsid w:val="008215E7"/>
    <w:rsid w:val="008239AD"/>
    <w:rsid w:val="00834178"/>
    <w:rsid w:val="008571A2"/>
    <w:rsid w:val="00860712"/>
    <w:rsid w:val="00860D72"/>
    <w:rsid w:val="00864DF2"/>
    <w:rsid w:val="008A2243"/>
    <w:rsid w:val="008D2A54"/>
    <w:rsid w:val="008E0A86"/>
    <w:rsid w:val="008E5035"/>
    <w:rsid w:val="008F72E4"/>
    <w:rsid w:val="009127DE"/>
    <w:rsid w:val="00921755"/>
    <w:rsid w:val="00927077"/>
    <w:rsid w:val="00944E6A"/>
    <w:rsid w:val="00953EB3"/>
    <w:rsid w:val="009551BD"/>
    <w:rsid w:val="00967468"/>
    <w:rsid w:val="009674FE"/>
    <w:rsid w:val="0099441B"/>
    <w:rsid w:val="009A51C6"/>
    <w:rsid w:val="009A531A"/>
    <w:rsid w:val="009B31AD"/>
    <w:rsid w:val="009D22FE"/>
    <w:rsid w:val="009D3C7A"/>
    <w:rsid w:val="009E1499"/>
    <w:rsid w:val="009E619F"/>
    <w:rsid w:val="00A32B9C"/>
    <w:rsid w:val="00A35540"/>
    <w:rsid w:val="00A42477"/>
    <w:rsid w:val="00A441EF"/>
    <w:rsid w:val="00A50F05"/>
    <w:rsid w:val="00A540B8"/>
    <w:rsid w:val="00A6337C"/>
    <w:rsid w:val="00AA39B8"/>
    <w:rsid w:val="00AA6A07"/>
    <w:rsid w:val="00AB2B00"/>
    <w:rsid w:val="00AB47B5"/>
    <w:rsid w:val="00AD6687"/>
    <w:rsid w:val="00B15AA8"/>
    <w:rsid w:val="00B22A40"/>
    <w:rsid w:val="00B35758"/>
    <w:rsid w:val="00B44C87"/>
    <w:rsid w:val="00B55CD2"/>
    <w:rsid w:val="00B57337"/>
    <w:rsid w:val="00B70443"/>
    <w:rsid w:val="00B90BB5"/>
    <w:rsid w:val="00B92DBB"/>
    <w:rsid w:val="00BA5BAD"/>
    <w:rsid w:val="00BA7F1A"/>
    <w:rsid w:val="00BB63FA"/>
    <w:rsid w:val="00BD2376"/>
    <w:rsid w:val="00BE7593"/>
    <w:rsid w:val="00C00E56"/>
    <w:rsid w:val="00C035EF"/>
    <w:rsid w:val="00C07DF3"/>
    <w:rsid w:val="00C13249"/>
    <w:rsid w:val="00C1624E"/>
    <w:rsid w:val="00C33867"/>
    <w:rsid w:val="00C34B55"/>
    <w:rsid w:val="00C454E2"/>
    <w:rsid w:val="00C70E4C"/>
    <w:rsid w:val="00C71985"/>
    <w:rsid w:val="00C83D36"/>
    <w:rsid w:val="00C842A9"/>
    <w:rsid w:val="00C84F9B"/>
    <w:rsid w:val="00C9524D"/>
    <w:rsid w:val="00CB511B"/>
    <w:rsid w:val="00CC7C1A"/>
    <w:rsid w:val="00CD1B25"/>
    <w:rsid w:val="00CD1E8D"/>
    <w:rsid w:val="00CD29EF"/>
    <w:rsid w:val="00CE2845"/>
    <w:rsid w:val="00CE7F00"/>
    <w:rsid w:val="00CF3A30"/>
    <w:rsid w:val="00CF4185"/>
    <w:rsid w:val="00CF580F"/>
    <w:rsid w:val="00D00949"/>
    <w:rsid w:val="00D012DD"/>
    <w:rsid w:val="00D746DB"/>
    <w:rsid w:val="00D87BB1"/>
    <w:rsid w:val="00DA0B80"/>
    <w:rsid w:val="00DB165E"/>
    <w:rsid w:val="00DB3775"/>
    <w:rsid w:val="00DB5714"/>
    <w:rsid w:val="00DC3722"/>
    <w:rsid w:val="00E01B7F"/>
    <w:rsid w:val="00E03603"/>
    <w:rsid w:val="00E17A7E"/>
    <w:rsid w:val="00E32E2D"/>
    <w:rsid w:val="00E333AE"/>
    <w:rsid w:val="00E45EC6"/>
    <w:rsid w:val="00E553EF"/>
    <w:rsid w:val="00E6221E"/>
    <w:rsid w:val="00E85732"/>
    <w:rsid w:val="00E85FDA"/>
    <w:rsid w:val="00E9217B"/>
    <w:rsid w:val="00E96D7E"/>
    <w:rsid w:val="00EA16AD"/>
    <w:rsid w:val="00EA719A"/>
    <w:rsid w:val="00EB4F57"/>
    <w:rsid w:val="00EC2966"/>
    <w:rsid w:val="00ED1ACB"/>
    <w:rsid w:val="00ED77D0"/>
    <w:rsid w:val="00EE1597"/>
    <w:rsid w:val="00EE2E58"/>
    <w:rsid w:val="00EF048C"/>
    <w:rsid w:val="00EF3F59"/>
    <w:rsid w:val="00EF4E67"/>
    <w:rsid w:val="00F066E9"/>
    <w:rsid w:val="00F13248"/>
    <w:rsid w:val="00F15A23"/>
    <w:rsid w:val="00F277F5"/>
    <w:rsid w:val="00F43500"/>
    <w:rsid w:val="00F52413"/>
    <w:rsid w:val="00F62F00"/>
    <w:rsid w:val="00F6775F"/>
    <w:rsid w:val="00F74019"/>
    <w:rsid w:val="00F75BF8"/>
    <w:rsid w:val="00F77315"/>
    <w:rsid w:val="00F77BB5"/>
    <w:rsid w:val="00F8333B"/>
    <w:rsid w:val="00FA1E1D"/>
    <w:rsid w:val="00FA6708"/>
    <w:rsid w:val="00FB2D90"/>
    <w:rsid w:val="00FB4547"/>
    <w:rsid w:val="00FB7E7E"/>
    <w:rsid w:val="00FC05B4"/>
    <w:rsid w:val="00FE5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B5"/>
    <w:pPr>
      <w:widowControl w:val="0"/>
      <w:spacing w:after="0" w:line="240" w:lineRule="auto"/>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F77BB5"/>
    <w:pPr>
      <w:spacing w:after="0" w:line="240" w:lineRule="auto"/>
    </w:pPr>
    <w:rPr>
      <w:rFonts w:ascii="Times New Roman" w:eastAsia="ZapfChancery" w:hAnsi="Times New Roman" w:cs="Times New Roman"/>
      <w:sz w:val="20"/>
      <w:szCs w:val="20"/>
      <w:lang w:val="en-US"/>
    </w:rPr>
  </w:style>
  <w:style w:type="paragraph" w:styleId="a4">
    <w:name w:val="List Paragraph"/>
    <w:basedOn w:val="a"/>
    <w:uiPriority w:val="34"/>
    <w:qFormat/>
    <w:rsid w:val="00F77BB5"/>
    <w:pPr>
      <w:ind w:left="720"/>
      <w:contextualSpacing/>
    </w:pPr>
  </w:style>
  <w:style w:type="paragraph" w:styleId="a5">
    <w:name w:val="Balloon Text"/>
    <w:basedOn w:val="a"/>
    <w:link w:val="a6"/>
    <w:uiPriority w:val="99"/>
    <w:semiHidden/>
    <w:unhideWhenUsed/>
    <w:rsid w:val="009D22FE"/>
    <w:rPr>
      <w:rFonts w:ascii="Tahoma" w:hAnsi="Tahoma" w:cs="Tahoma"/>
      <w:sz w:val="16"/>
      <w:szCs w:val="16"/>
    </w:rPr>
  </w:style>
  <w:style w:type="character" w:customStyle="1" w:styleId="a6">
    <w:name w:val="Текст выноски Знак"/>
    <w:basedOn w:val="a0"/>
    <w:link w:val="a5"/>
    <w:uiPriority w:val="99"/>
    <w:semiHidden/>
    <w:rsid w:val="009D22FE"/>
    <w:rPr>
      <w:rFonts w:ascii="Tahoma" w:hAnsi="Tahoma" w:cs="Tahoma"/>
      <w:sz w:val="16"/>
      <w:szCs w:val="16"/>
      <w:lang w:val="ru-RU" w:eastAsia="ru-RU"/>
    </w:rPr>
  </w:style>
  <w:style w:type="paragraph" w:customStyle="1" w:styleId="BodyText1">
    <w:name w:val="Body Text1"/>
    <w:rsid w:val="00E17A7E"/>
    <w:pPr>
      <w:spacing w:after="0" w:line="240" w:lineRule="auto"/>
      <w:ind w:firstLine="425"/>
      <w:jc w:val="both"/>
    </w:pPr>
    <w:rPr>
      <w:rFonts w:ascii="RimTimes" w:hAnsi="RimTimes" w:cs="Times New Roman"/>
      <w:color w:val="000000"/>
      <w:sz w:val="20"/>
      <w:szCs w:val="20"/>
      <w:lang w:val="en-US" w:eastAsia="lv-LV"/>
    </w:rPr>
  </w:style>
  <w:style w:type="paragraph" w:styleId="a7">
    <w:name w:val="Body Text"/>
    <w:basedOn w:val="a"/>
    <w:link w:val="a8"/>
    <w:rsid w:val="00EE2E58"/>
    <w:pPr>
      <w:widowControl/>
      <w:jc w:val="both"/>
    </w:pPr>
    <w:rPr>
      <w:color w:val="000000"/>
      <w:sz w:val="24"/>
      <w:szCs w:val="24"/>
      <w:lang w:val="en-GB" w:eastAsia="en-US"/>
    </w:rPr>
  </w:style>
  <w:style w:type="character" w:customStyle="1" w:styleId="a8">
    <w:name w:val="Основной текст Знак"/>
    <w:basedOn w:val="a0"/>
    <w:link w:val="a7"/>
    <w:rsid w:val="00EE2E58"/>
    <w:rPr>
      <w:rFonts w:ascii="Times New Roman" w:hAnsi="Times New Roman" w:cs="Times New Roman"/>
      <w:color w:val="000000"/>
      <w:sz w:val="24"/>
      <w:szCs w:val="24"/>
      <w:lang w:val="en-GB"/>
    </w:rPr>
  </w:style>
  <w:style w:type="character" w:styleId="a9">
    <w:name w:val="Hyperlink"/>
    <w:basedOn w:val="a0"/>
    <w:uiPriority w:val="99"/>
    <w:unhideWhenUsed/>
    <w:rsid w:val="003C4398"/>
    <w:rPr>
      <w:color w:val="0000FF" w:themeColor="hyperlink"/>
      <w:u w:val="single"/>
    </w:rPr>
  </w:style>
  <w:style w:type="paragraph" w:styleId="aa">
    <w:name w:val="No Spacing"/>
    <w:qFormat/>
    <w:rsid w:val="00E96D7E"/>
    <w:pPr>
      <w:spacing w:after="0" w:line="240" w:lineRule="auto"/>
    </w:pPr>
    <w:rPr>
      <w:rFonts w:ascii="Times New Roman" w:hAnsi="Times New Roman" w:cs="Times New Roman"/>
      <w:sz w:val="24"/>
      <w:szCs w:val="24"/>
      <w:lang w:val="ru-RU" w:eastAsia="ru-RU"/>
    </w:rPr>
  </w:style>
  <w:style w:type="character" w:styleId="ab">
    <w:name w:val="annotation reference"/>
    <w:basedOn w:val="a0"/>
    <w:uiPriority w:val="99"/>
    <w:semiHidden/>
    <w:unhideWhenUsed/>
    <w:rsid w:val="005325FC"/>
    <w:rPr>
      <w:sz w:val="16"/>
      <w:szCs w:val="16"/>
    </w:rPr>
  </w:style>
  <w:style w:type="paragraph" w:styleId="ac">
    <w:name w:val="annotation text"/>
    <w:basedOn w:val="a"/>
    <w:link w:val="ad"/>
    <w:uiPriority w:val="99"/>
    <w:semiHidden/>
    <w:unhideWhenUsed/>
    <w:rsid w:val="005325FC"/>
    <w:rPr>
      <w:sz w:val="20"/>
    </w:rPr>
  </w:style>
  <w:style w:type="character" w:customStyle="1" w:styleId="ad">
    <w:name w:val="Текст примечания Знак"/>
    <w:basedOn w:val="a0"/>
    <w:link w:val="ac"/>
    <w:uiPriority w:val="99"/>
    <w:semiHidden/>
    <w:rsid w:val="005325FC"/>
    <w:rPr>
      <w:rFonts w:ascii="Times New Roman" w:hAnsi="Times New Roman" w:cs="Times New Roman"/>
      <w:sz w:val="20"/>
      <w:szCs w:val="20"/>
      <w:lang w:val="ru-RU" w:eastAsia="ru-RU"/>
    </w:rPr>
  </w:style>
  <w:style w:type="paragraph" w:styleId="2">
    <w:name w:val="Body Text 2"/>
    <w:basedOn w:val="a"/>
    <w:link w:val="20"/>
    <w:uiPriority w:val="99"/>
    <w:semiHidden/>
    <w:unhideWhenUsed/>
    <w:rsid w:val="00645D69"/>
    <w:pPr>
      <w:spacing w:after="120" w:line="480" w:lineRule="auto"/>
    </w:pPr>
  </w:style>
  <w:style w:type="character" w:customStyle="1" w:styleId="20">
    <w:name w:val="Основной текст 2 Знак"/>
    <w:basedOn w:val="a0"/>
    <w:link w:val="2"/>
    <w:uiPriority w:val="99"/>
    <w:semiHidden/>
    <w:rsid w:val="00645D69"/>
    <w:rPr>
      <w:rFonts w:ascii="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B5"/>
    <w:pPr>
      <w:widowControl w:val="0"/>
      <w:spacing w:after="0" w:line="240" w:lineRule="auto"/>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F77BB5"/>
    <w:pPr>
      <w:spacing w:after="0" w:line="240" w:lineRule="auto"/>
    </w:pPr>
    <w:rPr>
      <w:rFonts w:ascii="Times New Roman" w:eastAsia="ZapfChancery" w:hAnsi="Times New Roman" w:cs="Times New Roman"/>
      <w:sz w:val="20"/>
      <w:szCs w:val="20"/>
      <w:lang w:val="en-US"/>
    </w:rPr>
  </w:style>
  <w:style w:type="paragraph" w:styleId="a4">
    <w:name w:val="List Paragraph"/>
    <w:basedOn w:val="a"/>
    <w:uiPriority w:val="34"/>
    <w:qFormat/>
    <w:rsid w:val="00F77BB5"/>
    <w:pPr>
      <w:ind w:left="720"/>
      <w:contextualSpacing/>
    </w:pPr>
  </w:style>
  <w:style w:type="paragraph" w:styleId="a5">
    <w:name w:val="Balloon Text"/>
    <w:basedOn w:val="a"/>
    <w:link w:val="a6"/>
    <w:uiPriority w:val="99"/>
    <w:semiHidden/>
    <w:unhideWhenUsed/>
    <w:rsid w:val="009D22FE"/>
    <w:rPr>
      <w:rFonts w:ascii="Tahoma" w:hAnsi="Tahoma" w:cs="Tahoma"/>
      <w:sz w:val="16"/>
      <w:szCs w:val="16"/>
    </w:rPr>
  </w:style>
  <w:style w:type="character" w:customStyle="1" w:styleId="a6">
    <w:name w:val="Текст выноски Знак"/>
    <w:basedOn w:val="a0"/>
    <w:link w:val="a5"/>
    <w:uiPriority w:val="99"/>
    <w:semiHidden/>
    <w:rsid w:val="009D22FE"/>
    <w:rPr>
      <w:rFonts w:ascii="Tahoma" w:hAnsi="Tahoma" w:cs="Tahoma"/>
      <w:sz w:val="16"/>
      <w:szCs w:val="16"/>
      <w:lang w:val="ru-RU" w:eastAsia="ru-RU"/>
    </w:rPr>
  </w:style>
  <w:style w:type="paragraph" w:customStyle="1" w:styleId="BodyText1">
    <w:name w:val="Body Text1"/>
    <w:rsid w:val="00E17A7E"/>
    <w:pPr>
      <w:spacing w:after="0" w:line="240" w:lineRule="auto"/>
      <w:ind w:firstLine="425"/>
      <w:jc w:val="both"/>
    </w:pPr>
    <w:rPr>
      <w:rFonts w:ascii="RimTimes" w:hAnsi="RimTimes" w:cs="Times New Roman"/>
      <w:color w:val="000000"/>
      <w:sz w:val="20"/>
      <w:szCs w:val="20"/>
      <w:lang w:val="en-US" w:eastAsia="lv-LV"/>
    </w:rPr>
  </w:style>
  <w:style w:type="paragraph" w:styleId="a7">
    <w:name w:val="Body Text"/>
    <w:basedOn w:val="a"/>
    <w:link w:val="a8"/>
    <w:rsid w:val="00EE2E58"/>
    <w:pPr>
      <w:widowControl/>
      <w:jc w:val="both"/>
    </w:pPr>
    <w:rPr>
      <w:color w:val="000000"/>
      <w:sz w:val="24"/>
      <w:szCs w:val="24"/>
      <w:lang w:val="en-GB" w:eastAsia="en-US"/>
    </w:rPr>
  </w:style>
  <w:style w:type="character" w:customStyle="1" w:styleId="a8">
    <w:name w:val="Основной текст Знак"/>
    <w:basedOn w:val="a0"/>
    <w:link w:val="a7"/>
    <w:rsid w:val="00EE2E58"/>
    <w:rPr>
      <w:rFonts w:ascii="Times New Roman" w:hAnsi="Times New Roman" w:cs="Times New Roman"/>
      <w:color w:val="000000"/>
      <w:sz w:val="24"/>
      <w:szCs w:val="24"/>
      <w:lang w:val="en-GB"/>
    </w:rPr>
  </w:style>
  <w:style w:type="character" w:styleId="a9">
    <w:name w:val="Hyperlink"/>
    <w:basedOn w:val="a0"/>
    <w:uiPriority w:val="99"/>
    <w:unhideWhenUsed/>
    <w:rsid w:val="003C4398"/>
    <w:rPr>
      <w:color w:val="0000FF" w:themeColor="hyperlink"/>
      <w:u w:val="single"/>
    </w:rPr>
  </w:style>
  <w:style w:type="paragraph" w:styleId="aa">
    <w:name w:val="No Spacing"/>
    <w:qFormat/>
    <w:rsid w:val="00E96D7E"/>
    <w:pPr>
      <w:spacing w:after="0" w:line="240" w:lineRule="auto"/>
    </w:pPr>
    <w:rPr>
      <w:rFonts w:ascii="Times New Roman" w:hAnsi="Times New Roman" w:cs="Times New Roman"/>
      <w:sz w:val="24"/>
      <w:szCs w:val="24"/>
      <w:lang w:val="ru-RU" w:eastAsia="ru-RU"/>
    </w:rPr>
  </w:style>
  <w:style w:type="character" w:styleId="ab">
    <w:name w:val="annotation reference"/>
    <w:basedOn w:val="a0"/>
    <w:uiPriority w:val="99"/>
    <w:semiHidden/>
    <w:unhideWhenUsed/>
    <w:rsid w:val="005325FC"/>
    <w:rPr>
      <w:sz w:val="16"/>
      <w:szCs w:val="16"/>
    </w:rPr>
  </w:style>
  <w:style w:type="paragraph" w:styleId="ac">
    <w:name w:val="annotation text"/>
    <w:basedOn w:val="a"/>
    <w:link w:val="ad"/>
    <w:uiPriority w:val="99"/>
    <w:semiHidden/>
    <w:unhideWhenUsed/>
    <w:rsid w:val="005325FC"/>
    <w:rPr>
      <w:sz w:val="20"/>
    </w:rPr>
  </w:style>
  <w:style w:type="character" w:customStyle="1" w:styleId="ad">
    <w:name w:val="Текст примечания Знак"/>
    <w:basedOn w:val="a0"/>
    <w:link w:val="ac"/>
    <w:uiPriority w:val="99"/>
    <w:semiHidden/>
    <w:rsid w:val="005325FC"/>
    <w:rPr>
      <w:rFonts w:ascii="Times New Roman" w:hAnsi="Times New Roman" w:cs="Times New Roman"/>
      <w:sz w:val="20"/>
      <w:szCs w:val="20"/>
      <w:lang w:val="ru-RU" w:eastAsia="ru-RU"/>
    </w:rPr>
  </w:style>
  <w:style w:type="paragraph" w:styleId="2">
    <w:name w:val="Body Text 2"/>
    <w:basedOn w:val="a"/>
    <w:link w:val="20"/>
    <w:uiPriority w:val="99"/>
    <w:semiHidden/>
    <w:unhideWhenUsed/>
    <w:rsid w:val="00645D69"/>
    <w:pPr>
      <w:spacing w:after="120" w:line="480" w:lineRule="auto"/>
    </w:pPr>
  </w:style>
  <w:style w:type="character" w:customStyle="1" w:styleId="20">
    <w:name w:val="Основной текст 2 Знак"/>
    <w:basedOn w:val="a0"/>
    <w:link w:val="2"/>
    <w:uiPriority w:val="99"/>
    <w:semiHidden/>
    <w:rsid w:val="00645D69"/>
    <w:rPr>
      <w:rFonts w:ascii="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926D-34A5-4CDF-A384-179CC8F6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13013</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Grindeks</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Grindeks</dc:creator>
  <cp:lastModifiedBy>Сламжанова Сауле Бексултановна</cp:lastModifiedBy>
  <cp:revision>2</cp:revision>
  <dcterms:created xsi:type="dcterms:W3CDTF">2018-04-27T12:58:00Z</dcterms:created>
  <dcterms:modified xsi:type="dcterms:W3CDTF">2018-04-27T12:58:00Z</dcterms:modified>
</cp:coreProperties>
</file>